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2017年度泽普县交通运输局部门决算</w:t>
      </w:r>
    </w:p>
    <w:p>
      <w:pPr>
        <w:spacing w:line="580" w:lineRule="exact"/>
        <w:jc w:val="center"/>
        <w:rPr>
          <w:rFonts w:hint="eastAsia" w:ascii="方正小标宋简体" w:hAnsi="方正小标宋简体" w:eastAsia="方正小标宋简体" w:cs="方正小标宋简体"/>
          <w:kern w:val="0"/>
          <w:sz w:val="44"/>
          <w:szCs w:val="44"/>
          <w:highlight w:val="none"/>
        </w:rPr>
      </w:pPr>
      <w:r>
        <w:rPr>
          <w:rFonts w:hint="eastAsia" w:ascii="方正小标宋简体" w:hAnsi="方正小标宋简体" w:eastAsia="方正小标宋简体" w:cs="方正小标宋简体"/>
          <w:kern w:val="0"/>
          <w:sz w:val="44"/>
          <w:szCs w:val="44"/>
          <w:highlight w:val="none"/>
        </w:rPr>
        <w:t>公开说</w:t>
      </w:r>
      <w:r>
        <w:rPr>
          <w:rFonts w:hint="eastAsia" w:ascii="方正小标宋简体" w:hAnsi="方正小标宋简体" w:eastAsia="方正小标宋简体" w:cs="方正小标宋简体"/>
          <w:kern w:val="0"/>
          <w:sz w:val="44"/>
          <w:szCs w:val="44"/>
          <w:highlight w:val="none"/>
        </w:rPr>
        <w:t>明</w:t>
      </w:r>
    </w:p>
    <w:p>
      <w:pPr>
        <w:pStyle w:val="2"/>
        <w:keepNext w:val="0"/>
        <w:keepLines w:val="0"/>
        <w:widowControl/>
        <w:suppressLineNumbers w:val="0"/>
        <w:spacing w:before="0" w:beforeAutospacing="0" w:after="0" w:afterAutospacing="0" w:line="610" w:lineRule="exact"/>
        <w:ind w:left="0" w:right="0"/>
        <w:jc w:val="center"/>
      </w:pPr>
      <w:r>
        <w:rPr>
          <w:rFonts w:hint="eastAsia" w:ascii="仿宋_GB2312" w:hAnsi="宋体" w:eastAsia="仿宋_GB2312" w:cs="Courier New"/>
          <w:b/>
          <w:kern w:val="2"/>
          <w:sz w:val="44"/>
          <w:szCs w:val="44"/>
          <w:shd w:val="clear" w:fill="FFFFFF"/>
        </w:rPr>
        <w:t xml:space="preserve"> </w:t>
      </w:r>
    </w:p>
    <w:p>
      <w:pPr>
        <w:keepNext w:val="0"/>
        <w:keepLines w:val="0"/>
        <w:widowControl/>
        <w:suppressLineNumbers w:val="0"/>
        <w:spacing w:before="0" w:beforeAutospacing="0" w:after="0" w:afterAutospacing="0" w:line="580" w:lineRule="exact"/>
        <w:ind w:left="0" w:right="0"/>
        <w:jc w:val="center"/>
        <w:outlineLvl w:val="1"/>
      </w:pPr>
      <w:r>
        <w:rPr>
          <w:rFonts w:hint="eastAsia" w:ascii="仿宋_GB2312" w:hAnsi="宋体" w:eastAsia="仿宋_GB2312" w:cs="仿宋_GB2312"/>
          <w:b/>
          <w:kern w:val="2"/>
          <w:sz w:val="32"/>
          <w:szCs w:val="32"/>
          <w:shd w:val="clear" w:fill="FFFFFF"/>
          <w:lang w:val="en-US" w:eastAsia="zh-CN" w:bidi="ar"/>
        </w:rPr>
        <w:t>目  录</w:t>
      </w:r>
    </w:p>
    <w:p>
      <w:pPr>
        <w:keepNext w:val="0"/>
        <w:keepLines w:val="0"/>
        <w:widowControl/>
        <w:suppressLineNumbers w:val="0"/>
        <w:spacing w:before="0" w:beforeAutospacing="0" w:after="0" w:afterAutospacing="0" w:line="580" w:lineRule="exact"/>
        <w:ind w:left="0" w:right="0" w:firstLine="643" w:firstLineChars="200"/>
        <w:jc w:val="left"/>
        <w:outlineLvl w:val="1"/>
      </w:pPr>
      <w:r>
        <w:rPr>
          <w:rFonts w:hint="eastAsia" w:ascii="仿宋_GB2312" w:hAnsi="宋体" w:eastAsia="仿宋_GB2312" w:cs="仿宋_GB2312"/>
          <w:b/>
          <w:kern w:val="2"/>
          <w:sz w:val="32"/>
          <w:szCs w:val="32"/>
          <w:shd w:val="clear" w:fill="FFFFFF"/>
          <w:lang w:val="en-US" w:eastAsia="zh-CN" w:bidi="ar"/>
        </w:rPr>
        <w:t>第一部分</w:t>
      </w:r>
      <w:r>
        <w:rPr>
          <w:rFonts w:hint="eastAsia" w:ascii="仿宋_GB2312" w:hAnsi="宋体" w:eastAsia="仿宋_GB2312" w:cs="仿宋_GB2312"/>
          <w:kern w:val="2"/>
          <w:sz w:val="32"/>
          <w:szCs w:val="32"/>
          <w:shd w:val="clear" w:fill="FFFFFF"/>
          <w:lang w:val="en-US" w:eastAsia="zh-CN" w:bidi="ar"/>
        </w:rPr>
        <w:t xml:space="preserve"> </w:t>
      </w:r>
      <w:r>
        <w:rPr>
          <w:rFonts w:hint="eastAsia" w:ascii="仿宋_GB2312" w:hAnsi="宋体" w:eastAsia="仿宋_GB2312" w:cs="仿宋_GB2312"/>
          <w:b/>
          <w:kern w:val="2"/>
          <w:sz w:val="32"/>
          <w:szCs w:val="32"/>
          <w:shd w:val="clear" w:fill="FFFFFF"/>
          <w:lang w:val="en-US" w:eastAsia="zh-CN" w:bidi="ar"/>
        </w:rPr>
        <w:t>泽普县交通运输局单位概况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2"/>
          <w:sz w:val="32"/>
          <w:szCs w:val="32"/>
          <w:shd w:val="clear" w:fill="FFFFFF"/>
          <w:lang w:val="en-US" w:eastAsia="zh-CN" w:bidi="ar"/>
        </w:rPr>
        <w:t>一、主要职能、机构设置及人员情况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2"/>
          <w:sz w:val="32"/>
          <w:szCs w:val="32"/>
          <w:shd w:val="clear" w:fill="FFFFFF"/>
          <w:lang w:val="en-US" w:eastAsia="zh-CN" w:bidi="ar"/>
        </w:rPr>
        <w:t>二、部门决算单位构成</w:t>
      </w:r>
    </w:p>
    <w:p>
      <w:pPr>
        <w:keepNext w:val="0"/>
        <w:keepLines w:val="0"/>
        <w:widowControl/>
        <w:suppressLineNumbers w:val="0"/>
        <w:spacing w:before="0" w:beforeAutospacing="0" w:after="0" w:afterAutospacing="0" w:line="580" w:lineRule="exact"/>
        <w:ind w:left="0" w:right="0" w:firstLine="643" w:firstLineChars="200"/>
        <w:jc w:val="left"/>
        <w:outlineLvl w:val="1"/>
      </w:pPr>
      <w:r>
        <w:rPr>
          <w:rFonts w:hint="eastAsia" w:ascii="仿宋_GB2312" w:hAnsi="宋体" w:eastAsia="仿宋_GB2312" w:cs="仿宋_GB2312"/>
          <w:b/>
          <w:kern w:val="2"/>
          <w:sz w:val="32"/>
          <w:szCs w:val="32"/>
          <w:shd w:val="clear" w:fill="FFFFFF"/>
          <w:lang w:val="en-US" w:eastAsia="zh-CN" w:bidi="ar"/>
        </w:rPr>
        <w:t>第二部分 部门决算情况说明</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2"/>
          <w:sz w:val="32"/>
          <w:szCs w:val="32"/>
          <w:shd w:val="clear" w:fill="FFFFFF"/>
          <w:lang w:val="en-US" w:eastAsia="zh-CN" w:bidi="ar"/>
        </w:rPr>
        <w:t>一、部门收支总体情况</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2"/>
          <w:sz w:val="32"/>
          <w:szCs w:val="32"/>
          <w:shd w:val="clear" w:fill="FFFFFF"/>
          <w:lang w:val="en-US" w:eastAsia="zh-CN" w:bidi="ar"/>
        </w:rPr>
        <w:t>（一）部门收入支出决算总体情况说明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（二）部门收入总体情况说明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（三）部门支出总体情况说明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二、部门财政拨款收支情况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（一）财政拨款收支总体情况说明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（二）一般公共预算支出决算情况说明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（三）政府性基金预算收支决算情况说明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（四）政府性基金预算支出决算情况说明</w:t>
      </w:r>
    </w:p>
    <w:p>
      <w:pPr>
        <w:keepNext w:val="0"/>
        <w:keepLines w:val="0"/>
        <w:widowControl/>
        <w:suppressLineNumbers w:val="0"/>
        <w:spacing w:before="0" w:beforeAutospacing="0" w:after="0" w:afterAutospacing="0" w:line="580" w:lineRule="exact"/>
        <w:ind w:left="0" w:right="0" w:firstLine="643" w:firstLineChars="200"/>
        <w:jc w:val="left"/>
      </w:pPr>
      <w:r>
        <w:rPr>
          <w:rFonts w:hint="eastAsia" w:ascii="仿宋_GB2312" w:hAnsi="宋体" w:eastAsia="仿宋_GB2312" w:cs="仿宋_GB2312"/>
          <w:b/>
          <w:kern w:val="2"/>
          <w:sz w:val="32"/>
          <w:szCs w:val="32"/>
          <w:shd w:val="clear" w:fill="FFFFFF"/>
          <w:lang w:val="en-US" w:eastAsia="zh-CN" w:bidi="ar"/>
        </w:rPr>
        <w:t>三、部门结转结余情况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四、一般公共预算“三公”经费支出情况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五、机关运行经费支出情况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六、政府采购情况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七、其他重要事项的情况</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（一）国有资产占用情况说明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（二）国有资产收益征缴情况说明</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（三）部门项目支出情况和项目绩效评价情况说明</w:t>
      </w:r>
    </w:p>
    <w:p>
      <w:pPr>
        <w:keepNext w:val="0"/>
        <w:keepLines w:val="0"/>
        <w:widowControl/>
        <w:suppressLineNumbers w:val="0"/>
        <w:spacing w:before="0" w:beforeAutospacing="0" w:after="0" w:afterAutospacing="0" w:line="580" w:lineRule="exact"/>
        <w:ind w:left="0" w:right="0" w:firstLine="643" w:firstLineChars="200"/>
        <w:jc w:val="left"/>
        <w:outlineLvl w:val="1"/>
      </w:pPr>
      <w:r>
        <w:rPr>
          <w:rFonts w:hint="eastAsia" w:ascii="仿宋_GB2312" w:hAnsi="宋体" w:eastAsia="仿宋_GB2312" w:cs="仿宋_GB2312"/>
          <w:b/>
          <w:kern w:val="2"/>
          <w:sz w:val="32"/>
          <w:szCs w:val="32"/>
          <w:shd w:val="clear" w:fill="FFFFFF"/>
          <w:lang w:val="en-US" w:eastAsia="zh-CN" w:bidi="ar"/>
        </w:rPr>
        <w:t>第三部分 专业名词解释</w:t>
      </w:r>
    </w:p>
    <w:p>
      <w:pPr>
        <w:keepNext w:val="0"/>
        <w:keepLines w:val="0"/>
        <w:widowControl/>
        <w:suppressLineNumbers w:val="0"/>
        <w:spacing w:before="0" w:beforeAutospacing="0" w:after="0" w:afterAutospacing="0" w:line="580" w:lineRule="exact"/>
        <w:ind w:left="0" w:right="0" w:firstLine="643" w:firstLineChars="200"/>
        <w:jc w:val="left"/>
        <w:outlineLvl w:val="1"/>
      </w:pPr>
      <w:r>
        <w:rPr>
          <w:rFonts w:hint="eastAsia" w:ascii="仿宋_GB2312" w:hAnsi="宋体" w:eastAsia="仿宋_GB2312" w:cs="仿宋_GB2312"/>
          <w:b/>
          <w:kern w:val="2"/>
          <w:sz w:val="32"/>
          <w:szCs w:val="32"/>
          <w:shd w:val="clear" w:fill="FFFFFF"/>
          <w:lang w:val="en-US" w:eastAsia="zh-CN" w:bidi="ar"/>
        </w:rPr>
        <w:t>第四部分 部门决算报表</w:t>
      </w:r>
    </w:p>
    <w:p>
      <w:pPr>
        <w:keepNext w:val="0"/>
        <w:keepLines w:val="0"/>
        <w:widowControl/>
        <w:suppressLineNumbers w:val="0"/>
        <w:spacing w:before="0" w:beforeAutospacing="0" w:after="0" w:afterAutospacing="0" w:line="580" w:lineRule="exact"/>
        <w:ind w:left="0" w:right="0" w:firstLine="640" w:firstLineChars="200"/>
        <w:jc w:val="left"/>
        <w:outlineLvl w:val="1"/>
      </w:pPr>
      <w:r>
        <w:rPr>
          <w:rFonts w:hint="eastAsia" w:ascii="仿宋_GB2312" w:hAnsi="宋体" w:eastAsia="仿宋_GB2312" w:cs="仿宋_GB2312"/>
          <w:kern w:val="2"/>
          <w:sz w:val="32"/>
          <w:szCs w:val="32"/>
          <w:shd w:val="clear" w:fill="FFFFFF"/>
          <w:lang w:val="en-US" w:eastAsia="zh-CN" w:bidi="ar"/>
        </w:rPr>
        <w:t>一、报表封面</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二、部门收支总体情况（11张）：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《收入决算表》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《行政事业类项目收入支出决算表》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《基本建设类项目收入支出决算表》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《财政专户管理资金收入支出决算表》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三、财政拨款收支情况（9张）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《财政拨款收入支出决算总表》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《一般公共预算财政拨款收入支出决算表》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《一般公共预算财政拨款支出决算明细表》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《一般公共预算财政拨款基本支出决算明细表》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《一般公共预算财政拨款项目支出决算明细表》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《政府性基金预算财政拨款收入支出决算表》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《政府性基金预算财政拨款支出决算明细表》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《政府性基金预算财政拨款基本支出决算明细表》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《政府性基金预算财政拨款项目支出决算明细表》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四、单位资产负责情况（1张）：《资产负债简表》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五、部门决算附表（5张）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《资产情况表》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《国有资产收益征缴情况表》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《基本数字表》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《机构人员情况表》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《非税收入征缴情况表》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六、填报说明附表（2张）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《部门决算相关信息统计表》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《政府采购情况表》</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七、“三公”经费支出情况(1张)</w:t>
      </w:r>
    </w:p>
    <w:p>
      <w:pPr>
        <w:keepNext w:val="0"/>
        <w:keepLines w:val="0"/>
        <w:widowControl/>
        <w:suppressLineNumbers w:val="0"/>
        <w:spacing w:before="0" w:beforeAutospacing="0" w:after="0" w:afterAutospacing="0" w:line="58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《2017年度一般公共预算“三公”经费支出情况表》</w:t>
      </w:r>
    </w:p>
    <w:p>
      <w:pPr>
        <w:pStyle w:val="2"/>
        <w:keepNext w:val="0"/>
        <w:keepLines w:val="0"/>
        <w:widowControl/>
        <w:suppressLineNumbers w:val="0"/>
        <w:spacing w:before="0" w:beforeAutospacing="0" w:after="0" w:afterAutospacing="0" w:line="500" w:lineRule="exact"/>
        <w:ind w:left="0" w:right="0"/>
        <w:jc w:val="center"/>
      </w:pPr>
      <w:r>
        <w:rPr>
          <w:rFonts w:hint="eastAsia" w:ascii="仿宋_GB2312" w:hAnsi="宋体" w:eastAsia="仿宋_GB2312" w:cs="仿宋_GB2312"/>
          <w:kern w:val="2"/>
          <w:sz w:val="32"/>
          <w:szCs w:val="32"/>
          <w:shd w:val="clear" w:fill="FFFFFF"/>
        </w:rPr>
        <w:t xml:space="preserve">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 </w:t>
      </w:r>
    </w:p>
    <w:p>
      <w:pPr>
        <w:pStyle w:val="2"/>
        <w:keepNext w:val="0"/>
        <w:keepLines w:val="0"/>
        <w:widowControl/>
        <w:suppressLineNumbers w:val="0"/>
        <w:spacing w:before="0" w:beforeAutospacing="0" w:after="0" w:afterAutospacing="0" w:line="500" w:lineRule="exact"/>
        <w:ind w:left="0" w:right="0" w:firstLine="643" w:firstLineChars="200"/>
        <w:jc w:val="center"/>
      </w:pPr>
      <w:r>
        <w:rPr>
          <w:rFonts w:hint="eastAsia" w:ascii="仿宋_GB2312" w:hAnsi="宋体" w:eastAsia="仿宋_GB2312" w:cs="仿宋_GB2312"/>
          <w:b/>
          <w:kern w:val="2"/>
          <w:sz w:val="32"/>
          <w:szCs w:val="32"/>
          <w:shd w:val="clear" w:fill="FFFFFF"/>
        </w:rPr>
        <w:t>第一部分 部门单位概况</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一、部门单位基本情况：</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1．主要职能：</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(1)贯彻执行国家、自治区、地区和县政府有关公路、交通运输、涉外运输的方针、政策、法规、规定并组织实施和监督检查。</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(2)拟定编制全县公路交通运输发展规划，制定公路交通运输战略国画以及科技、战略、教育中长期计划和年度计划并组织实施。</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(3)负责全县的县、乡公路及专用公路的建设、养护、路政等组织管理；指导城乡客运管理；协调有关部门做好公路环保工作。</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(4)负责指导交通运输市场和交通基础设施建设市场，建立完善信息、服务体系、引导交通运输优化结构、协调发展。</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(5)负责公路运输经济及技术管理；负责指导汽车维护市场，车辆技术检测，汽车驾驶学校驾驶员培训等工作的行业管理。</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(6)加强和协调交通企业的改制工作。负责对所属单位国有资产的管理和保值增值的监督。</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(7)负责公路交通运输科技管理和重大科研项目的组织实施。</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(8)指导交通运输行业文化建设，组织指导交通行业从业人员的培训、教育等工作，会同有关部门管理全县公路交通运输安全生产及治安保卫，法制宣传和交通行政复议工作。</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(9)负责全县交通战备工作。</w:t>
      </w:r>
    </w:p>
    <w:p>
      <w:pPr>
        <w:pStyle w:val="2"/>
        <w:keepNext w:val="0"/>
        <w:keepLines w:val="0"/>
        <w:widowControl/>
        <w:suppressLineNumbers w:val="0"/>
        <w:spacing w:before="0" w:beforeAutospacing="0" w:after="0" w:afterAutospacing="0" w:line="560" w:lineRule="atLeast"/>
        <w:ind w:left="420" w:right="0" w:firstLine="320" w:firstLineChars="100"/>
      </w:pPr>
      <w:r>
        <w:rPr>
          <w:rFonts w:hint="eastAsia" w:ascii="仿宋_GB2312" w:hAnsi="宋体" w:eastAsia="仿宋_GB2312" w:cs="仿宋_GB2312"/>
          <w:kern w:val="0"/>
          <w:sz w:val="32"/>
          <w:szCs w:val="32"/>
          <w:shd w:val="clear" w:fill="FFFFFF"/>
        </w:rPr>
        <w:t>(10)承办县委、县人民政府交办的其他事项。</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2．机构设置情况.</w:t>
      </w:r>
    </w:p>
    <w:p>
      <w:pPr>
        <w:pStyle w:val="2"/>
        <w:keepNext w:val="0"/>
        <w:keepLines w:val="0"/>
        <w:widowControl/>
        <w:suppressLineNumbers w:val="0"/>
        <w:spacing w:before="0" w:beforeAutospacing="0" w:after="0" w:afterAutospacing="0" w:line="560" w:lineRule="atLeast"/>
        <w:ind w:left="420" w:right="0"/>
      </w:pPr>
      <w:r>
        <w:rPr>
          <w:rFonts w:hint="eastAsia" w:ascii="仿宋_GB2312" w:hAnsi="宋体" w:eastAsia="仿宋_GB2312" w:cs="仿宋_GB2312"/>
          <w:kern w:val="0"/>
          <w:sz w:val="32"/>
          <w:szCs w:val="32"/>
          <w:shd w:val="clear" w:fill="FFFFFF"/>
        </w:rPr>
        <w:t>单位内设机构3个，分别为泽普县路政稽查大队，泽普县农村公路管理养护站，城市出租客运管理办公室。</w:t>
      </w:r>
    </w:p>
    <w:p>
      <w:pPr>
        <w:keepNext w:val="0"/>
        <w:keepLines w:val="0"/>
        <w:widowControl/>
        <w:suppressLineNumbers w:val="0"/>
        <w:spacing w:before="0" w:beforeAutospacing="0" w:after="0" w:afterAutospacing="0" w:line="500" w:lineRule="exact"/>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 xml:space="preserve">3．机构人员情况。 </w:t>
      </w:r>
    </w:p>
    <w:p>
      <w:pPr>
        <w:pStyle w:val="2"/>
        <w:keepNext w:val="0"/>
        <w:keepLines w:val="0"/>
        <w:widowControl/>
        <w:suppressLineNumbers w:val="0"/>
        <w:spacing w:before="0" w:beforeAutospacing="0" w:after="0" w:afterAutospacing="0" w:line="560" w:lineRule="atLeast"/>
        <w:ind w:left="420" w:right="0" w:firstLine="600"/>
      </w:pPr>
      <w:r>
        <w:rPr>
          <w:rFonts w:hint="eastAsia" w:ascii="仿宋_GB2312" w:hAnsi="宋体" w:eastAsia="仿宋_GB2312" w:cs="仿宋_GB2312"/>
          <w:kern w:val="0"/>
          <w:sz w:val="32"/>
          <w:szCs w:val="32"/>
          <w:shd w:val="clear" w:fill="FFFFFF"/>
        </w:rPr>
        <w:t>编制11人（行政编制3人、工勤编制1人、参照公务员6人、事业编制1人），实有在职人数10 人，退休2人，属于一般公共预算财政拨款开支 12人，其中：在职 10 人，退休2人。</w:t>
      </w:r>
    </w:p>
    <w:p>
      <w:pPr>
        <w:pStyle w:val="2"/>
        <w:keepNext w:val="0"/>
        <w:keepLines w:val="0"/>
        <w:widowControl/>
        <w:suppressLineNumbers w:val="0"/>
        <w:spacing w:before="0" w:beforeAutospacing="0" w:after="0" w:afterAutospacing="0" w:line="560" w:lineRule="atLeast"/>
        <w:ind w:left="420" w:right="0" w:firstLine="600"/>
      </w:pPr>
      <w:r>
        <w:rPr>
          <w:rFonts w:hint="eastAsia" w:ascii="仿宋_GB2312" w:hAnsi="宋体" w:eastAsia="仿宋_GB2312" w:cs="仿宋_GB2312"/>
          <w:kern w:val="0"/>
          <w:sz w:val="32"/>
          <w:szCs w:val="32"/>
          <w:shd w:val="clear" w:fill="FFFFFF"/>
        </w:rPr>
        <w:t>在职人数与2016年决算人数在职人数增加1人。</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二、部门决算单位构成。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从决算单位构成看，交通运输局部门决算包括：交通运输局部门本级决算、所属单位决算等。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纳入旅游局2017年部门决算编制范围的单位名单见下表： </w:t>
      </w:r>
    </w:p>
    <w:tbl>
      <w:tblPr>
        <w:tblStyle w:val="6"/>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40"/>
        <w:gridCol w:w="3420"/>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290" w:hRule="atLeast"/>
        </w:trPr>
        <w:tc>
          <w:tcPr>
            <w:tcW w:w="2340" w:type="dxa"/>
            <w:tcBorders>
              <w:top w:val="single" w:color="auto" w:sz="4" w:space="0"/>
              <w:left w:val="single" w:color="auto" w:sz="4" w:space="0"/>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Arial" w:eastAsia="仿宋_GB2312" w:cs="仿宋_GB2312"/>
                <w:kern w:val="2"/>
                <w:sz w:val="32"/>
                <w:szCs w:val="32"/>
              </w:rPr>
              <w:t>序号</w:t>
            </w:r>
          </w:p>
        </w:tc>
        <w:tc>
          <w:tcPr>
            <w:tcW w:w="3420" w:type="dxa"/>
            <w:tcBorders>
              <w:top w:val="single" w:color="auto" w:sz="4" w:space="0"/>
              <w:left w:val="nil"/>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Arial" w:eastAsia="仿宋_GB2312" w:cs="仿宋_GB2312"/>
                <w:kern w:val="2"/>
                <w:sz w:val="32"/>
                <w:szCs w:val="32"/>
              </w:rPr>
              <w:t>单位名称</w:t>
            </w:r>
          </w:p>
        </w:tc>
        <w:tc>
          <w:tcPr>
            <w:tcW w:w="2520" w:type="dxa"/>
            <w:tcBorders>
              <w:top w:val="single" w:color="auto" w:sz="4" w:space="0"/>
              <w:left w:val="nil"/>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Arial" w:eastAsia="仿宋_GB2312" w:cs="仿宋_GB2312"/>
                <w:kern w:val="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 w:hRule="atLeast"/>
        </w:trPr>
        <w:tc>
          <w:tcPr>
            <w:tcW w:w="2340" w:type="dxa"/>
            <w:tcBorders>
              <w:top w:val="single" w:color="auto" w:sz="4" w:space="0"/>
              <w:left w:val="single" w:color="auto" w:sz="4" w:space="0"/>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Arial" w:eastAsia="仿宋_GB2312" w:cs="仿宋_GB2312"/>
                <w:kern w:val="2"/>
                <w:sz w:val="32"/>
                <w:szCs w:val="32"/>
              </w:rPr>
              <w:t>1</w:t>
            </w:r>
          </w:p>
        </w:tc>
        <w:tc>
          <w:tcPr>
            <w:tcW w:w="3420" w:type="dxa"/>
            <w:tcBorders>
              <w:top w:val="single" w:color="auto" w:sz="4" w:space="0"/>
              <w:left w:val="nil"/>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pPr>
            <w:r>
              <w:rPr>
                <w:rFonts w:hint="eastAsia" w:ascii="仿宋_GB2312" w:hAnsi="Arial" w:eastAsia="仿宋_GB2312" w:cs="仿宋_GB2312"/>
                <w:kern w:val="2"/>
                <w:sz w:val="32"/>
                <w:szCs w:val="32"/>
              </w:rPr>
              <w:t>交通运输局单位本级</w:t>
            </w:r>
          </w:p>
        </w:tc>
        <w:tc>
          <w:tcPr>
            <w:tcW w:w="2520" w:type="dxa"/>
            <w:tcBorders>
              <w:top w:val="single" w:color="auto" w:sz="4" w:space="0"/>
              <w:left w:val="nil"/>
              <w:bottom w:val="single" w:color="auto" w:sz="4" w:space="0"/>
              <w:right w:val="single" w:color="auto" w:sz="4" w:space="0"/>
            </w:tcBorders>
            <w:shd w:val="clear" w:color="auto" w:fill="auto"/>
            <w:vAlign w:val="top"/>
          </w:tcPr>
          <w:p>
            <w:pPr>
              <w:pStyle w:val="2"/>
              <w:keepNext w:val="0"/>
              <w:keepLines w:val="0"/>
              <w:widowControl/>
              <w:suppressLineNumbers w:val="0"/>
              <w:spacing w:before="0" w:beforeAutospacing="0" w:after="0" w:afterAutospacing="0" w:line="500" w:lineRule="exact"/>
              <w:ind w:left="0" w:right="0" w:firstLine="640" w:firstLineChars="200"/>
              <w:jc w:val="center"/>
            </w:pPr>
            <w:r>
              <w:rPr>
                <w:rFonts w:hint="eastAsia" w:ascii="仿宋_GB2312" w:hAnsi="Arial" w:eastAsia="仿宋_GB2312" w:cs="仿宋_GB2312"/>
                <w:kern w:val="2"/>
                <w:sz w:val="32"/>
                <w:szCs w:val="32"/>
              </w:rPr>
              <w:t> </w:t>
            </w:r>
          </w:p>
        </w:tc>
      </w:tr>
    </w:tbl>
    <w:p>
      <w:pPr>
        <w:pStyle w:val="2"/>
        <w:keepNext w:val="0"/>
        <w:keepLines w:val="0"/>
        <w:widowControl/>
        <w:suppressLineNumbers w:val="0"/>
        <w:spacing w:before="0" w:beforeAutospacing="0" w:after="0" w:afterAutospacing="0" w:line="500" w:lineRule="exact"/>
        <w:ind w:left="0" w:right="0" w:firstLine="643" w:firstLineChars="200"/>
        <w:jc w:val="center"/>
      </w:pPr>
      <w:r>
        <w:rPr>
          <w:rFonts w:hint="eastAsia" w:ascii="仿宋_GB2312" w:hAnsi="宋体" w:eastAsia="仿宋_GB2312" w:cs="仿宋_GB2312"/>
          <w:b/>
          <w:kern w:val="2"/>
          <w:sz w:val="32"/>
          <w:szCs w:val="32"/>
          <w:shd w:val="clear" w:fill="FFFFFF"/>
        </w:rPr>
        <w:t>第二部分 部门决算情况说明</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一、部门收支总体情况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（一）部门收入支出决算总体情况说明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2017年度收入10337.81万元,与上年1793.34万元相比，增加8544.47万元，增长82.65 %，支出9534.02万元,与上年1533.34万元相比，增加 8000.68万元，增长83.92 %，结余1063.79万元，与上年260万元相比，增加803.79万元，增长309%。增减变化主要原因是：1、增加2017年中央扶贫农村公路资金、2、增加2017年车辆购置税资金用于一般公路建设。3、增加2015年油价补贴。4、增加高速公路立交项目征地赔偿费5、增加上海援疆资金。</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2017年初部门预算279.33万元，仅只是工资福利支出和基本的部门运转经费，2017年实际收入比年初预算增加10058.48万元，增加3600.9%，主要原因是农村公路建设项目资金、油价补贴、高速公路立交项目征地赔偿费等项目资金增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（二）部门收入总体情况说明 （Z03表）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本年收入合计10337.81万元，其中：财政拨款收入8330.63万元，占80.6%；上级补助收入0万元，占0%；事业收入0万元，占0%；经营收入0万元，占0%；附属单位缴款0万元，占0%；其他收入2007.18万元，占19.4%。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与预算相比情况:与预算相比情况:2017年初收入部门预算279.33万元，本年增加增10058.48万元，增加3600.9%，主要原因是农村公路建设项目资金、油价补贴、高速公路立交项目征地赔偿费等项目资金增加。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（三）部门支出总体情况说明 （Z04表）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本年支出合计9534.02万元，其中：基本支出179.02万元，占1.88%；项目支出9354.99万元，占98.12%；上缴上级支出0万元，占0%；经营支出0万元，占0%；对附属单位补助支出0万元，占0%。增减变化的主要原因是：农村公路项目建设支出。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与预算相比情况:与预算相比情况:2017年初部门预算279.33万元，本年增加增9254.69万元，增加3313.17%，主要原因是农村公路建设项目资金、油价补贴高速公路立交项目征地赔偿费等项目资金增加。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二、部门财政拨款收支情况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（一）财政拨款收支总体情况说明 （Z01-1、07、08表）2017年度财政拨款收入8330.63万元，与上年1793.34万元相比，增加6537.29万元，增长78.47%。增减变化的主要原因是：1、增加2017年中央扶贫农村公路资金、2、增加2017年车辆购置税资金用于一般公路建设。3、增加2015年油价补贴。</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财政拨款支出7973.34万元，。与上年1533.34万元相比，增加6440万元，增长80.76%，其中基本支出177.99万元项目支出7795.35万元、增减变化的主要原因是：1、增加2017年中央扶贫农村公路资金、2、增加2017年车辆购置税资金用于一般公路建设。3、增加2015年油价补贴。</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财政拨款结转结余617.29万元，与上年相比，增加357.28万元，增长57.80%、增减变化的主要原因是：1阿克塔木乡-奎依巴格乡罕兰干村道路建设项目实施未全部完工有结余207.4万元。2、2017年小修养护工程资金下达较晚，项目未实施有结余230万元。3、2017年第二批农村公路项目工程质保金179.88万元。</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与预算相比情况:与预算相比情况:2017年初收入部门预算279.33万元，相比增加10058.48万元，增加3600.9%，主要原因是农村公路建设项目资金、油价补贴、高速公路立交项目征地赔偿费等项目资金增加。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与预算相比情况:2017年初部门预算支出279.33万元，相比增加9254.69万元，增加3313.17%，主要原因是农村公路建设项目资金、油价补贴高速公路立交项目征地赔偿费等项目资金增加。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（二）一般公共预算支出决算情况说明 （Z08表）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2017年度一般公共预算财政拨款支出7973.34万元。与上年1533.34相比，增加6440万元，增长80.76%。增减变化的主要原因是：1、增加2017年中央扶贫农村公路资金、2、增加2017年车辆购置税资金用于一般公路建设。3、增加2015年油价补贴。。</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其中：按功能分类科目，社会保障和就业支出（机关事业单位基本养老保险支出）14.15万元，农林水支出（农村道路建设2882.71万元），交通运输支出（行政运行支出154.51万元）（公路养护67万元）（成品油价改革补贴其他支出5万元（对农村道路客运的补贴855.43万元）（对出租车的油价补贴4.09万元）（车辆购置税用于农村公路建设支出3981.11万元），住房保障支出(住房公积金9.37万元）。</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按经济分类科目，基本支出177.99万元：其中人员经费支出167.02万元、日常公用经费10.97万元，（工资福利支出136.65万元、商品和服务支出10.97万元、对个人和家庭的补助30.37万元）。项目支出7795.35万元，其中：基本建设项目支出6863.83万元，行政事业类项目支出931.52万元。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与预算相比情况，与预算相比情况:2017年初部门预算支出279.33万元2017年支出增加9254.69万元，增加3313.17%，主要原因是农村公路建设项目资金、油价补贴高速公路立交项目征地赔偿费等项目资金增加。</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（三）政府性基金预算收支决算情况说明（Z01-1、10表）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2017年度政府性基金预算财政拨款收入0万元，与上年相比，增加（减少）0万元，增长（降低）0%。政府性基金预算财政拨款支出0万元，与上年相比，增加（减少）0万元，增长（降低）0%。</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与预算相比情况：0。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（四）政府性基金预算支出决算情况说明 （Z10表）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2017年度政府性基金预算支出0万元。与上年相比，增加（减少）0万元，增长（降低）0%。</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与预算相比情况：0。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三、部门结转结余情况 (Z 01、02表）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2017年末结转结余1063.79万元。与上年结余260万元相比，增加803.79万元，增长309%。 增减变化的主要原因是：1阿克塔木乡-奎依巴格乡罕兰干村道路建设项目实施未全部完工有结余207.4万元。2、2017年小修养护工程资金下达较晚，项目未实施有结余230万元。3、2017年第二批农村公路项目工程质保金179.88万元。4、高速公路立交项目征地赔偿费和其他结余448.17万元。</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其中财政拨款结转结余617.29万元，与上年相比，增加357.28万元，增长57.80%。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四、一般公共预算“三公”经费支出情况 （CS05表）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2017年度一般公共预算“三公”经费支出决算6.65万元，比上年减少0.35万元，降低5.0%，减少原因是人员、车辆外出减少。其中，因公出国（境）费支出0万元，占0%，比上年增加（减少）0万元，增长（降低）0%，；公务用车购置及运行维护费支出6.65万元，占100%，比上年减少0.35万元，降低5.0%，增加（减少）原因是人员、车辆外出减少；公务接待费支出0万元，占0%，比上年增加（减少）0万元，增长（降低）0%，。具体情况如下：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因公出国（境）费支出0万元。旅游局全年使用一般公共预算财政拨款安排的出国（境）团组0个，累计0人次。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公务用车购置及运行维护费6.65万元,其中，公务用车购置0万元，公务用车运行维护费6.65万元。主要用于日常工作开展等。2017年，单位一般公共财政拨款安排的公务用车购置量0辆，保有量为0辆。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公务接待费0万元。具体是：国内公务接待支出0万元，。旅游局国内公务接待0批次，0人次。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与预算相比情况:减少0.35万元,降低5%,主要原因是压减支出。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五、机关运行经费支出情况 （CS05表）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2017年度交通运输局机关运行经费支出10.97万元，比上年减少3.86万元，降低247%，主要原因是压缩单位基本支出、机关经费减少。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六、政府采购情况 （CS06表）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交通运输局政府采购计划0.81万元，其中：政府采购货物支出0万元、政府采购工程支出0万元、政府采购服务支出0.81万元；实际采购0.81万元，其中：政府采购货物支出0万元、政府采购工程支出0万元、政府采购服务支出0.81万元。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七、其他重要事项的情况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（一）国有资产占用情况说明 （Z12、F01表）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截至2017年12月31日，资产总计2461.34万元，其中：流动资产2418.37万元，固定资产42.96万元，其中：共有车辆2辆，价值</w:t>
      </w:r>
      <w:r>
        <w:rPr>
          <w:rFonts w:hint="eastAsia" w:ascii="仿宋_GB2312" w:hAnsi="宋体" w:eastAsia="仿宋_GB2312" w:cs="仿宋_GB2312"/>
          <w:kern w:val="2"/>
          <w:sz w:val="32"/>
          <w:szCs w:val="32"/>
          <w:shd w:val="clear" w:fill="FFFFFF"/>
          <w:lang w:val="en-US" w:eastAsia="zh-CN"/>
        </w:rPr>
        <w:t>0</w:t>
      </w:r>
      <w:r>
        <w:rPr>
          <w:rFonts w:hint="eastAsia" w:ascii="仿宋_GB2312" w:hAnsi="宋体" w:eastAsia="仿宋_GB2312" w:cs="仿宋_GB2312"/>
          <w:kern w:val="2"/>
          <w:sz w:val="32"/>
          <w:szCs w:val="32"/>
          <w:shd w:val="clear" w:fill="FFFFFF"/>
        </w:rPr>
        <w:t>万元，其中：一般公务用车1辆</w:t>
      </w:r>
      <w:r>
        <w:rPr>
          <w:rFonts w:hint="eastAsia" w:ascii="仿宋_GB2312" w:hAnsi="宋体" w:eastAsia="仿宋_GB2312" w:cs="仿宋_GB2312"/>
          <w:kern w:val="2"/>
          <w:sz w:val="32"/>
          <w:szCs w:val="32"/>
          <w:shd w:val="clear" w:fill="FFFFFF"/>
          <w:lang w:eastAsia="zh-CN"/>
        </w:rPr>
        <w:t>、</w:t>
      </w:r>
      <w:r>
        <w:rPr>
          <w:rFonts w:hint="eastAsia" w:ascii="仿宋_GB2312" w:hAnsi="宋体" w:eastAsia="仿宋_GB2312" w:cs="仿宋_GB2312"/>
          <w:kern w:val="2"/>
          <w:sz w:val="32"/>
          <w:szCs w:val="32"/>
          <w:shd w:val="clear" w:fill="FFFFFF"/>
        </w:rPr>
        <w:t>一般执法执勤用车0辆；其他用车1辆</w:t>
      </w:r>
      <w:r>
        <w:rPr>
          <w:rFonts w:hint="eastAsia" w:ascii="仿宋_GB2312" w:hAnsi="宋体" w:eastAsia="仿宋_GB2312" w:cs="仿宋_GB2312"/>
          <w:kern w:val="2"/>
          <w:sz w:val="32"/>
          <w:szCs w:val="32"/>
          <w:shd w:val="clear" w:fill="FFFFFF"/>
          <w:lang w:eastAsia="zh-CN"/>
        </w:rPr>
        <w:t>、</w:t>
      </w:r>
      <w:r>
        <w:rPr>
          <w:rFonts w:hint="eastAsia" w:ascii="仿宋_GB2312" w:hAnsi="宋体" w:eastAsia="仿宋_GB2312" w:cs="仿宋_GB2312"/>
          <w:kern w:val="2"/>
          <w:sz w:val="32"/>
          <w:szCs w:val="32"/>
          <w:shd w:val="clear" w:fill="FFFFFF"/>
        </w:rPr>
        <w:t xml:space="preserve">单位价值27.15万元以上通用设备0台（套）、单位价值100万元以上专用设备0台（套），其他固定资产价值15.82万 其他有关说明内容。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（二）国有资产收益征缴情况说明 （F02表）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截至201</w:t>
      </w:r>
      <w:bookmarkStart w:id="0" w:name="_GoBack"/>
      <w:bookmarkEnd w:id="0"/>
      <w:r>
        <w:rPr>
          <w:rFonts w:hint="eastAsia" w:ascii="仿宋_GB2312" w:hAnsi="宋体" w:eastAsia="仿宋_GB2312" w:cs="仿宋_GB2312"/>
          <w:kern w:val="2"/>
          <w:sz w:val="32"/>
          <w:szCs w:val="32"/>
          <w:shd w:val="clear" w:fill="FFFFFF"/>
        </w:rPr>
        <w:t xml:space="preserve">7年12月31日，交通运输局资产有偿使用收入合计0万元，资产处置收入合计0万元。其中：已缴国库0万元，已缴财政专户0万元，应缴未缴0万元，单位留用0万元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（三）部门项目支出情况和项目绩效评价情况说明 （Z06表）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2017年度，本部门单位实行绩效管理的项目3个，涉及预算0万元，项目支出决算5099.5万元。年末本部门单位民生项目和重点支出项目的绩效评价开展情况及结果： </w:t>
      </w:r>
    </w:p>
    <w:p>
      <w:pPr>
        <w:keepNext w:val="0"/>
        <w:keepLines w:val="0"/>
        <w:widowControl/>
        <w:numPr>
          <w:ilvl w:val="0"/>
          <w:numId w:val="0"/>
        </w:numPr>
        <w:suppressLineNumbers w:val="0"/>
        <w:spacing w:before="0" w:beforeAutospacing="0" w:after="0" w:afterAutospacing="0"/>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1、泽普县2017年第一批农村公路建设项目第一合同段22.4公里已完工；</w:t>
      </w:r>
    </w:p>
    <w:p>
      <w:pPr>
        <w:keepNext w:val="0"/>
        <w:keepLines w:val="0"/>
        <w:widowControl/>
        <w:numPr>
          <w:ilvl w:val="0"/>
          <w:numId w:val="0"/>
        </w:numPr>
        <w:suppressLineNumbers w:val="0"/>
        <w:spacing w:before="0" w:beforeAutospacing="0" w:after="0" w:afterAutospacing="0"/>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2、泽普县2017年村级惠民生（第七、十二批）道路建设项目9.48公里已完工；</w:t>
      </w:r>
    </w:p>
    <w:p>
      <w:pPr>
        <w:keepNext w:val="0"/>
        <w:keepLines w:val="0"/>
        <w:widowControl/>
        <w:suppressLineNumbers w:val="0"/>
        <w:spacing w:before="0" w:beforeAutospacing="0" w:after="0" w:afterAutospacing="0"/>
        <w:ind w:left="0" w:right="0" w:firstLine="640" w:firstLineChars="200"/>
        <w:jc w:val="left"/>
      </w:pPr>
      <w:r>
        <w:rPr>
          <w:rFonts w:hint="eastAsia" w:ascii="仿宋_GB2312" w:hAnsi="宋体" w:eastAsia="仿宋_GB2312" w:cs="仿宋_GB2312"/>
          <w:kern w:val="2"/>
          <w:sz w:val="32"/>
          <w:szCs w:val="32"/>
          <w:shd w:val="clear" w:fill="FFFFFF"/>
          <w:lang w:val="en-US" w:eastAsia="zh-CN" w:bidi="ar"/>
        </w:rPr>
        <w:t>3、农村公路路网改造（22公里)完工6.6公里。项目实施便捷道路沿线7个乡镇10万群众出行，有效助力脱贫攻坚，一改偏远地区群众“晴天一身土、雨天一身泥”的现状。</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3" w:firstLineChars="200"/>
        <w:jc w:val="center"/>
      </w:pPr>
      <w:r>
        <w:rPr>
          <w:rFonts w:hint="eastAsia" w:ascii="仿宋_GB2312" w:hAnsi="宋体" w:eastAsia="仿宋_GB2312" w:cs="仿宋_GB2312"/>
          <w:b/>
          <w:kern w:val="2"/>
          <w:sz w:val="32"/>
          <w:szCs w:val="32"/>
          <w:shd w:val="clear" w:fill="FFFFFF"/>
        </w:rPr>
        <w:t>第三部分 专业名词解释</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财政拨款收入：指同级财政当年拨付的资金。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上级补助收入：指事业单位从主管部门和上级单位取得的非财政补助收入。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事业收入：指事业单位开展专业业务活动及其辅助活动所取得的收入。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经营收入：指事业单位在专业业务活动及其辅助活动之外开展非独立核算经营活动取得的收入。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附属单位缴款：指事业单位附属的独立核算单位按有关规定上缴的收入。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其他收入：指除上述“财政拨款收入”、“事业收入”、“经营收入”、“附属单位缴款”等之外取得的收入。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结余分配：反映单位当年结余的分配情况。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基本支出：指为保障机构正常运转、完成日常工作任务而发生的人员支出和公用支出。</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项目支出：指在基本支出之外为完成特定行政任务和事业发展目标所发生的支出。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经营支出：指事业单位在专业业务活动及其辅助活动之外开展非独立核算经营活动发生的支出。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对附属单位补助支出：指事业单位发生的用非财政预算资金对附属单位的补助支出。</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 “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本单位支出功能分类说明。</w:t>
      </w:r>
      <w:r>
        <w:rPr>
          <w:rFonts w:hint="eastAsia" w:ascii="仿宋_GB2312" w:hAnsi="宋体" w:eastAsia="仿宋_GB2312" w:cs="仿宋_GB2312"/>
          <w:color w:val="000000"/>
          <w:kern w:val="0"/>
          <w:sz w:val="32"/>
          <w:szCs w:val="32"/>
          <w:shd w:val="clear" w:fill="FFFFFF"/>
        </w:rPr>
        <w:t>2080505：机关事业单位基本养老保险缴费支出。21401：公路水路运输01（行政运行）；06（公路养护）。21404：成品油价改革对交通运输补贴02（对农村道路客运的补贴）；03（对出租车的油价补贴）；99（成品油价改革补贴的其他支出）。21406：车辆购置税支出02（车辆购置税用于农村公路建设支出）。21499其他交通运输支出99（其他交通运输支出）。2210201：住房公积金支出</w:t>
      </w:r>
      <w:r>
        <w:rPr>
          <w:rFonts w:hint="eastAsia" w:ascii="仿宋_GB2312" w:hAnsi="宋体" w:eastAsia="仿宋_GB2312" w:cs="仿宋_GB2312"/>
          <w:kern w:val="2"/>
          <w:sz w:val="32"/>
          <w:szCs w:val="32"/>
          <w:shd w:val="clear" w:fill="FFFFFF"/>
        </w:rPr>
        <w:t>。21301：农水林支出42（农村道路建设）。21208：城乡社区支出01（征地和拆迁补偿支出）</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2"/>
          <w:sz w:val="32"/>
          <w:szCs w:val="32"/>
          <w:shd w:val="clear" w:fill="FFFFFF"/>
        </w:rPr>
        <w:t xml:space="preserve">其他有关说明内容：无。  </w:t>
      </w:r>
    </w:p>
    <w:p>
      <w:pPr>
        <w:pStyle w:val="2"/>
        <w:keepNext w:val="0"/>
        <w:keepLines w:val="0"/>
        <w:widowControl/>
        <w:suppressLineNumbers w:val="0"/>
        <w:spacing w:before="0" w:beforeAutospacing="0" w:after="0" w:afterAutospacing="0" w:line="500" w:lineRule="exact"/>
        <w:ind w:left="0" w:right="0" w:firstLine="643" w:firstLineChars="200"/>
        <w:jc w:val="center"/>
      </w:pPr>
      <w:r>
        <w:rPr>
          <w:rFonts w:hint="eastAsia" w:ascii="仿宋_GB2312" w:hAnsi="宋体" w:eastAsia="仿宋_GB2312" w:cs="仿宋_GB2312"/>
          <w:b/>
          <w:kern w:val="2"/>
          <w:sz w:val="32"/>
          <w:szCs w:val="32"/>
          <w:shd w:val="clear" w:fill="FFFFFF"/>
        </w:rPr>
        <w:t>第四部分 部门决算报表（见附表）</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一、报表封面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二、《收入支出决算总表》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三、《收入决算表》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四、《支出决算表》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五、《收入支出决算表》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六、《项目收入支出决算表》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七、《行政事业类项目收入支出决算表》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八、《基本建设类项目收入支出决算表》（空表，旅游局无此项数据）</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九、《支出决算明细表》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十、《基本支出决算明细表》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十一、《项目支出决算明细表》</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十二、《财政专户管理资金收入支出决算表》（空表）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十三、《财政拨款收入支出决算总表》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十四、《一般公共预算财政拨款收入支出决算表》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十五、《一般公共预算财政拨款支出决算明细表》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十六、《一般公共预算财政拨款基本支出决算明细表》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十七、《一般公共预算财政拨款项目支出决算明细表》（空表）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十八、《政府性基金预算财政拨款收入支出决算表》（空表，无政府性基金财政拨款收入）</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十九、《政府性基金预算财政拨款支出决算明细表》（空表，无政府性基金财政拨款支出） </w:t>
      </w:r>
    </w:p>
    <w:p>
      <w:pPr>
        <w:pStyle w:val="2"/>
        <w:keepNext w:val="0"/>
        <w:keepLines w:val="0"/>
        <w:widowControl/>
        <w:suppressLineNumbers w:val="0"/>
        <w:spacing w:before="0" w:beforeAutospacing="0" w:after="0" w:afterAutospacing="0"/>
        <w:ind w:left="638" w:leftChars="304" w:right="0"/>
      </w:pPr>
      <w:r>
        <w:rPr>
          <w:rFonts w:hint="eastAsia" w:ascii="仿宋_GB2312" w:hAnsi="宋体" w:eastAsia="仿宋_GB2312" w:cs="仿宋_GB2312"/>
          <w:kern w:val="2"/>
          <w:sz w:val="32"/>
          <w:szCs w:val="32"/>
          <w:shd w:val="clear" w:fill="FFFFFF"/>
        </w:rPr>
        <w:t>二十、《政府性基金预算财政拨款基本支出决算明细表》（空表，政府性基金拨款无基本支出）</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二十一、《政府性基金预算财政拨款项目支出决算明细表》。（空表，无政府性基金拨款项目支出）</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二十二、《资产负债简表》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二十三、《资产情况表》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二十四、《国有资产收益征缴情况表》（空表，无国有资产收益）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二十五、《基本数字表》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二十六、《机构人员情况表》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二十七、《非税收入征缴情况表》（空表）</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 xml:space="preserve">二十八、《部门决算相关信息统计表》 </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二十九、《政府采购情况表》（空表，无采购情况）</w:t>
      </w:r>
    </w:p>
    <w:p>
      <w:pPr>
        <w:pStyle w:val="2"/>
        <w:keepNext w:val="0"/>
        <w:keepLines w:val="0"/>
        <w:widowControl/>
        <w:suppressLineNumbers w:val="0"/>
        <w:spacing w:before="0" w:beforeAutospacing="0" w:after="0" w:afterAutospacing="0"/>
        <w:ind w:left="0" w:right="0" w:firstLine="640" w:firstLineChars="200"/>
      </w:pPr>
      <w:r>
        <w:rPr>
          <w:rFonts w:hint="eastAsia" w:ascii="仿宋_GB2312" w:hAnsi="宋体" w:eastAsia="仿宋_GB2312" w:cs="仿宋_GB2312"/>
          <w:kern w:val="2"/>
          <w:sz w:val="32"/>
          <w:szCs w:val="32"/>
          <w:shd w:val="clear" w:fill="FFFFFF"/>
        </w:rPr>
        <w:t>三十、《2017年度一般公共预算“三公”经费支出情况表》</w:t>
      </w:r>
    </w:p>
    <w:p>
      <w:pPr>
        <w:pStyle w:val="2"/>
        <w:keepNext w:val="0"/>
        <w:keepLines w:val="0"/>
        <w:widowControl/>
        <w:suppressLineNumbers w:val="0"/>
        <w:spacing w:before="0" w:beforeAutospacing="0" w:after="0" w:afterAutospacing="0" w:line="500" w:lineRule="exact"/>
        <w:ind w:left="0" w:right="0" w:firstLine="640" w:firstLineChars="200"/>
      </w:pPr>
      <w:r>
        <w:rPr>
          <w:rFonts w:hint="eastAsia" w:ascii="仿宋_GB2312" w:hAnsi="宋体" w:eastAsia="仿宋_GB2312" w:cs="仿宋_GB2312"/>
          <w:kern w:val="0"/>
          <w:sz w:val="32"/>
          <w:szCs w:val="32"/>
          <w:shd w:val="clear" w:fill="FFFFFF"/>
        </w:rPr>
        <w:t>三十一、2017年部门决算公开情况核实表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0E7279"/>
    <w:rsid w:val="6D535020"/>
    <w:rsid w:val="73D90006"/>
    <w:rsid w:val="760E7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6</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2018-12-22T13:52:00Z</dcterms:created>
  <dc:creator>Administrator</dc:creator>
  <cp:lastModifiedBy>Administrator</cp:lastModifiedBy>
  <dcterms:modified xsi:type="dcterms:W3CDTF">2018-12-26T15:00:19Z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