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hAnsi="方正小标宋简体" w:eastAsia="方正小标宋简体" w:cs="方正小标宋简体"/>
          <w:kern w:val="0"/>
          <w:sz w:val="44"/>
          <w:szCs w:val="44"/>
          <w:highlight w:val="none"/>
        </w:rPr>
      </w:pPr>
      <w:r>
        <w:rPr>
          <w:rFonts w:hint="eastAsia" w:ascii="方正小标宋简体" w:hAnsi="方正小标宋简体" w:eastAsia="方正小标宋简体" w:cs="方正小标宋简体"/>
          <w:kern w:val="0"/>
          <w:sz w:val="44"/>
          <w:szCs w:val="44"/>
          <w:highlight w:val="none"/>
          <w:lang w:val="en-US" w:eastAsia="zh-CN"/>
        </w:rPr>
        <w:t>2017</w:t>
      </w:r>
      <w:r>
        <w:rPr>
          <w:rFonts w:hint="default" w:ascii="方正小标宋简体" w:hAnsi="方正小标宋简体" w:eastAsia="方正小标宋简体" w:cs="方正小标宋简体"/>
          <w:kern w:val="0"/>
          <w:sz w:val="44"/>
          <w:szCs w:val="44"/>
          <w:highlight w:val="none"/>
          <w:lang w:val="en-US" w:eastAsia="zh-CN"/>
        </w:rPr>
        <w:t>年度泽普县城乡综合执法局</w:t>
      </w:r>
    </w:p>
    <w:p>
      <w:pPr>
        <w:spacing w:line="580" w:lineRule="exact"/>
        <w:jc w:val="center"/>
        <w:rPr>
          <w:rFonts w:hint="eastAsia" w:ascii="方正小标宋简体" w:hAnsi="方正小标宋简体" w:eastAsia="方正小标宋简体" w:cs="方正小标宋简体"/>
          <w:kern w:val="0"/>
          <w:sz w:val="44"/>
          <w:szCs w:val="44"/>
          <w:highlight w:val="none"/>
        </w:rPr>
      </w:pPr>
      <w:r>
        <w:rPr>
          <w:rFonts w:hint="default" w:ascii="方正小标宋简体" w:hAnsi="方正小标宋简体" w:eastAsia="方正小标宋简体" w:cs="方正小标宋简体"/>
          <w:kern w:val="0"/>
          <w:sz w:val="44"/>
          <w:szCs w:val="44"/>
          <w:highlight w:val="none"/>
          <w:lang w:val="en-US" w:eastAsia="zh-CN"/>
        </w:rPr>
        <w:t>部门决算公开说明</w:t>
      </w:r>
    </w:p>
    <w:p>
      <w:pPr>
        <w:spacing w:line="580" w:lineRule="exact"/>
        <w:jc w:val="center"/>
        <w:rPr>
          <w:rFonts w:hint="eastAsia" w:ascii="方正小标宋简体" w:hAnsi="方正小标宋简体" w:eastAsia="方正小标宋简体" w:cs="方正小标宋简体"/>
          <w:kern w:val="0"/>
          <w:sz w:val="44"/>
          <w:szCs w:val="44"/>
          <w:highlight w:val="none"/>
        </w:rPr>
      </w:pPr>
      <w:r>
        <w:rPr>
          <w:rFonts w:hint="default" w:ascii="方正小标宋简体" w:hAnsi="方正小标宋简体" w:eastAsia="方正小标宋简体" w:cs="方正小标宋简体"/>
          <w:kern w:val="0"/>
          <w:sz w:val="44"/>
          <w:szCs w:val="44"/>
          <w:highlight w:val="none"/>
          <w:lang w:val="en-US" w:eastAsia="zh-CN"/>
        </w:rPr>
        <w:t xml:space="preserve"> </w:t>
      </w:r>
    </w:p>
    <w:p>
      <w:pPr>
        <w:spacing w:line="580" w:lineRule="exact"/>
        <w:jc w:val="center"/>
        <w:outlineLvl w:val="1"/>
        <w:rPr>
          <w:rFonts w:hint="eastAsia" w:ascii="华文中宋" w:hAnsi="华文中宋" w:eastAsia="华文中宋" w:cs="Times New Roman"/>
          <w:b/>
          <w:kern w:val="0"/>
          <w:sz w:val="32"/>
          <w:szCs w:val="32"/>
          <w:highlight w:val="none"/>
        </w:rPr>
      </w:pPr>
      <w:r>
        <w:rPr>
          <w:rFonts w:hint="eastAsia" w:ascii="华文中宋" w:hAnsi="华文中宋" w:eastAsia="华文中宋" w:cs="Times New Roman"/>
          <w:b/>
          <w:kern w:val="0"/>
          <w:sz w:val="32"/>
          <w:szCs w:val="32"/>
          <w:highlight w:val="none"/>
          <w:lang w:val="en-US" w:eastAsia="zh-CN"/>
        </w:rPr>
        <w:t>目</w:t>
      </w:r>
      <w:r>
        <w:rPr>
          <w:rFonts w:hint="default" w:ascii="华文中宋" w:hAnsi="华文中宋" w:eastAsia="华文中宋" w:cs="Times New Roman"/>
          <w:b/>
          <w:kern w:val="0"/>
          <w:sz w:val="32"/>
          <w:szCs w:val="32"/>
          <w:highlight w:val="none"/>
          <w:lang w:val="en-US" w:eastAsia="zh-CN"/>
        </w:rPr>
        <w:t xml:space="preserve">  录</w:t>
      </w:r>
    </w:p>
    <w:p>
      <w:pPr>
        <w:spacing w:line="580" w:lineRule="exact"/>
        <w:ind w:firstLine="640" w:firstLineChars="200"/>
        <w:outlineLvl w:val="1"/>
        <w:rPr>
          <w:rFonts w:hint="eastAsia" w:ascii="黑体" w:hAnsi="黑体" w:eastAsia="黑体" w:cs="Times New Roman"/>
          <w:kern w:val="0"/>
          <w:sz w:val="32"/>
          <w:szCs w:val="32"/>
          <w:highlight w:val="none"/>
        </w:rPr>
      </w:pPr>
      <w:r>
        <w:rPr>
          <w:rFonts w:hint="eastAsia" w:ascii="黑体" w:hAnsi="黑体" w:eastAsia="黑体" w:cs="Times New Roman"/>
          <w:kern w:val="0"/>
          <w:sz w:val="32"/>
          <w:szCs w:val="32"/>
          <w:highlight w:val="none"/>
          <w:lang w:val="en-US" w:eastAsia="zh-CN"/>
        </w:rPr>
        <w:t>第一部分 泽普县城乡综合执法局单位概况</w:t>
      </w:r>
    </w:p>
    <w:p>
      <w:pPr>
        <w:spacing w:line="580" w:lineRule="exact"/>
        <w:ind w:firstLine="640" w:firstLineChars="200"/>
        <w:outlineLvl w:val="1"/>
        <w:rPr>
          <w:rFonts w:hint="eastAsia" w:ascii="仿宋_GB2312" w:hAnsi="宋体" w:eastAsia="仿宋_GB2312" w:cs="Times New Roman"/>
          <w:kern w:val="0"/>
          <w:sz w:val="32"/>
          <w:szCs w:val="32"/>
          <w:highlight w:val="none"/>
        </w:rPr>
      </w:pPr>
      <w:r>
        <w:rPr>
          <w:rFonts w:hint="default" w:ascii="仿宋_GB2312" w:hAnsi="宋体" w:eastAsia="仿宋_GB2312" w:cs="Times New Roman"/>
          <w:kern w:val="0"/>
          <w:sz w:val="32"/>
          <w:szCs w:val="32"/>
          <w:highlight w:val="none"/>
          <w:lang w:val="en-US" w:eastAsia="zh-CN"/>
        </w:rPr>
        <w:t>一、主要职能、机构设置及人员情况</w:t>
      </w:r>
    </w:p>
    <w:p>
      <w:pPr>
        <w:spacing w:line="580" w:lineRule="exact"/>
        <w:ind w:firstLine="640" w:firstLineChars="200"/>
        <w:outlineLvl w:val="1"/>
        <w:rPr>
          <w:rFonts w:hint="eastAsia" w:ascii="仿宋_GB2312" w:hAnsi="宋体" w:eastAsia="仿宋_GB2312" w:cs="Times New Roman"/>
          <w:kern w:val="0"/>
          <w:sz w:val="32"/>
          <w:szCs w:val="32"/>
          <w:highlight w:val="none"/>
        </w:rPr>
      </w:pPr>
      <w:r>
        <w:rPr>
          <w:rFonts w:hint="default" w:ascii="仿宋_GB2312" w:hAnsi="宋体" w:eastAsia="仿宋_GB2312" w:cs="Times New Roman"/>
          <w:kern w:val="0"/>
          <w:sz w:val="32"/>
          <w:szCs w:val="32"/>
          <w:highlight w:val="none"/>
          <w:lang w:val="en-US" w:eastAsia="zh-CN"/>
        </w:rPr>
        <w:t>二、部门决算单位构成</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第二部分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部门决算情况说明</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一、部门收支总体情况</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（一）部门收入支出决算总体情况说明</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（二）部门收入总体情况说明</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（三）部门支出总体情况说明</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二、部门财政拨款收支情况</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（一）财政拨款收支总体情况说明</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（二）一般公共预算支出决算情况说明</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（三）政府性基金预算收支决算情况说明</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（四）政府性基金预算支出决算情况说明</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三、部门结转结余情况</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四、一般公共预算“三公”经费支出情况</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五、机关运行经费支出情况</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六、政府采购情况</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七、其他重要事项的情况</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（一）国有资产占用情况说明</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（二）国有资产收益征缴情况说明</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（三）部门项目支出情况和项目绩效评价情况说明</w:t>
      </w:r>
    </w:p>
    <w:p>
      <w:pPr>
        <w:spacing w:line="580" w:lineRule="exact"/>
        <w:ind w:firstLine="640" w:firstLineChars="200"/>
        <w:outlineLvl w:val="1"/>
        <w:rPr>
          <w:rFonts w:hint="eastAsia" w:ascii="黑体" w:hAnsi="黑体" w:eastAsia="黑体" w:cs="Times New Roman"/>
          <w:kern w:val="0"/>
          <w:sz w:val="32"/>
          <w:szCs w:val="32"/>
          <w:highlight w:val="none"/>
        </w:rPr>
      </w:pPr>
      <w:r>
        <w:rPr>
          <w:rFonts w:hint="eastAsia" w:ascii="黑体" w:hAnsi="黑体" w:eastAsia="黑体" w:cs="Times New Roman"/>
          <w:kern w:val="0"/>
          <w:sz w:val="32"/>
          <w:szCs w:val="32"/>
          <w:highlight w:val="none"/>
          <w:lang w:val="en-US" w:eastAsia="zh-CN"/>
        </w:rPr>
        <w:t>第三部分</w:t>
      </w:r>
      <w:r>
        <w:rPr>
          <w:rFonts w:hint="default" w:ascii="黑体" w:hAnsi="黑体" w:eastAsia="黑体" w:cs="Times New Roman"/>
          <w:kern w:val="0"/>
          <w:sz w:val="32"/>
          <w:szCs w:val="32"/>
          <w:highlight w:val="none"/>
          <w:lang w:val="en-US" w:eastAsia="zh-CN"/>
        </w:rPr>
        <w:t xml:space="preserve"> </w:t>
      </w:r>
      <w:r>
        <w:rPr>
          <w:rFonts w:hint="eastAsia" w:ascii="黑体" w:hAnsi="黑体" w:eastAsia="黑体" w:cs="Times New Roman"/>
          <w:kern w:val="0"/>
          <w:sz w:val="32"/>
          <w:szCs w:val="32"/>
          <w:highlight w:val="none"/>
          <w:lang w:val="en-US" w:eastAsia="zh-CN"/>
        </w:rPr>
        <w:t>专业名词解释</w:t>
      </w:r>
    </w:p>
    <w:p>
      <w:pPr>
        <w:spacing w:line="580" w:lineRule="exact"/>
        <w:ind w:firstLine="640" w:firstLineChars="200"/>
        <w:outlineLvl w:val="1"/>
        <w:rPr>
          <w:rFonts w:hint="eastAsia" w:ascii="黑体" w:hAnsi="黑体" w:eastAsia="黑体" w:cs="Times New Roman"/>
          <w:kern w:val="0"/>
          <w:sz w:val="32"/>
          <w:szCs w:val="32"/>
          <w:highlight w:val="none"/>
        </w:rPr>
      </w:pPr>
      <w:r>
        <w:rPr>
          <w:rFonts w:hint="eastAsia" w:ascii="黑体" w:hAnsi="黑体" w:eastAsia="黑体" w:cs="Times New Roman"/>
          <w:kern w:val="0"/>
          <w:sz w:val="32"/>
          <w:szCs w:val="32"/>
          <w:highlight w:val="none"/>
          <w:lang w:val="en-US" w:eastAsia="zh-CN"/>
        </w:rPr>
        <w:t>第四部分</w:t>
      </w:r>
      <w:r>
        <w:rPr>
          <w:rFonts w:hint="default" w:ascii="黑体" w:hAnsi="黑体" w:eastAsia="黑体" w:cs="Times New Roman"/>
          <w:kern w:val="0"/>
          <w:sz w:val="32"/>
          <w:szCs w:val="32"/>
          <w:highlight w:val="none"/>
          <w:lang w:val="en-US" w:eastAsia="zh-CN"/>
        </w:rPr>
        <w:t xml:space="preserve"> </w:t>
      </w:r>
      <w:r>
        <w:rPr>
          <w:rFonts w:hint="eastAsia" w:ascii="黑体" w:hAnsi="黑体" w:eastAsia="黑体" w:cs="Times New Roman"/>
          <w:kern w:val="0"/>
          <w:sz w:val="32"/>
          <w:szCs w:val="32"/>
          <w:highlight w:val="none"/>
          <w:lang w:val="en-US" w:eastAsia="zh-CN"/>
        </w:rPr>
        <w:t>部门决算报表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一、报表封面</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二、部门收支总体情况（11张）：</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《收入支出决算总表》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《收入决算表》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《支出决算表》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《收入支出决算表》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《项目收入支出决算表》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《行政事业类项目收入支出决算表》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《基本建设类项目收入支出决算表》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《支出决算明细表》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《基本支出决算明细表》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《项目支出决算明细表》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《财政专户管理资金收入支出决算表》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三、财政拨款收支情况（9张）</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《财政拨款收入支出决算总表》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《一般公共预算财政拨款收入支出决算表》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《一般公共预算财政拨款支出决算明细表》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《一般公共预算财政拨款基本支出决算明细表》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《一般公共预算财政拨款项目支出决算明细表》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《政府性基金预算财政拨款收入支出决算表》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《政府性基金预算财政拨款支出决算明细表》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《政府性基金预算财政拨款基本支出决算明细表》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《政府性基金预算财政拨款项目支出决算明细表》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四、单位资产负责情况（1张）：《资产负债简表》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五、部门决算附表（5张）</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《资产情况表》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《国有资产收益征缴情况表》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《基本数字表》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《机构人员情况表》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《非税收入征缴情况表》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六、填报说明附表（2张）</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《部门决算相关信息统计表》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《政府采购情况表》</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七、“三公”经费支出情况(1张)</w:t>
      </w:r>
    </w:p>
    <w:p>
      <w:pPr>
        <w:spacing w:line="580" w:lineRule="exact"/>
        <w:ind w:firstLine="640" w:firstLineChars="200"/>
        <w:outlineLvl w:val="1"/>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《2017年度一般公共预算“三公”经费支出情况表》</w:t>
      </w:r>
    </w:p>
    <w:p>
      <w:pPr>
        <w:spacing w:line="500" w:lineRule="exact"/>
        <w:jc w:val="center"/>
        <w:rPr>
          <w:rFonts w:hint="eastAsia" w:ascii="黑体" w:hAnsi="黑体" w:eastAsia="黑体" w:cs="Times New Roman"/>
          <w:kern w:val="0"/>
          <w:sz w:val="32"/>
          <w:szCs w:val="32"/>
          <w:highlight w:val="none"/>
        </w:rPr>
      </w:pPr>
      <w:r>
        <w:rPr>
          <w:rFonts w:hint="default" w:ascii="黑体" w:hAnsi="黑体" w:eastAsia="黑体" w:cs="Times New Roman"/>
          <w:kern w:val="0"/>
          <w:sz w:val="32"/>
          <w:szCs w:val="32"/>
          <w:highlight w:val="none"/>
          <w:lang w:val="en-US" w:eastAsia="zh-CN"/>
        </w:rPr>
        <w:t xml:space="preserve"> </w:t>
      </w:r>
    </w:p>
    <w:p>
      <w:pPr>
        <w:spacing w:line="500" w:lineRule="exact"/>
        <w:jc w:val="center"/>
        <w:rPr>
          <w:rFonts w:hint="eastAsia" w:ascii="黑体" w:hAnsi="黑体" w:eastAsia="黑体" w:cs="Times New Roman"/>
          <w:kern w:val="0"/>
          <w:sz w:val="32"/>
          <w:szCs w:val="32"/>
          <w:highlight w:val="none"/>
        </w:rPr>
      </w:pPr>
      <w:r>
        <w:rPr>
          <w:rFonts w:hint="eastAsia" w:ascii="黑体" w:hAnsi="黑体" w:eastAsia="黑体" w:cs="Times New Roman"/>
          <w:kern w:val="0"/>
          <w:sz w:val="32"/>
          <w:szCs w:val="32"/>
          <w:highlight w:val="none"/>
          <w:lang w:val="en-US" w:eastAsia="zh-CN"/>
        </w:rPr>
        <w:t>第一部分</w:t>
      </w:r>
      <w:r>
        <w:rPr>
          <w:rFonts w:hint="default" w:ascii="黑体" w:hAnsi="黑体" w:eastAsia="黑体" w:cs="Times New Roman"/>
          <w:kern w:val="0"/>
          <w:sz w:val="32"/>
          <w:szCs w:val="32"/>
          <w:highlight w:val="none"/>
          <w:lang w:val="en-US" w:eastAsia="zh-CN"/>
        </w:rPr>
        <w:t xml:space="preserve"> </w:t>
      </w:r>
      <w:r>
        <w:rPr>
          <w:rFonts w:hint="eastAsia" w:ascii="黑体" w:hAnsi="黑体" w:eastAsia="黑体" w:cs="Times New Roman"/>
          <w:kern w:val="0"/>
          <w:sz w:val="32"/>
          <w:szCs w:val="32"/>
          <w:highlight w:val="none"/>
          <w:lang w:val="en-US" w:eastAsia="zh-CN"/>
        </w:rPr>
        <w:t>部门单位概况</w:t>
      </w:r>
    </w:p>
    <w:p>
      <w:pPr>
        <w:keepNext w:val="0"/>
        <w:keepLines w:val="0"/>
        <w:widowControl/>
        <w:suppressLineNumbers w:val="0"/>
        <w:spacing w:before="0" w:beforeAutospacing="0" w:after="0" w:afterAutospacing="0" w:line="500" w:lineRule="exact"/>
        <w:ind w:left="0" w:right="0" w:firstLine="640" w:firstLineChars="200"/>
        <w:jc w:val="left"/>
      </w:pPr>
      <w:r>
        <w:rPr>
          <w:rFonts w:hint="default" w:ascii="Times New Roman" w:hAnsi="Times New Roman" w:eastAsia="方正小标宋_GBK" w:cs="Times New Roman"/>
          <w:kern w:val="0"/>
          <w:sz w:val="32"/>
          <w:szCs w:val="32"/>
          <w:shd w:val="clear" w:fill="FFFFFF"/>
          <w:lang w:val="en-US" w:eastAsia="zh-CN" w:bidi="ar"/>
        </w:rPr>
        <w:t xml:space="preserve"> </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一、部门单位基本情况，包括：部门主要职能和机构设置情况、年末编制情况、实有人数情况等（F03、O4表）。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rPr>
        <w:t>主要职能：</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rPr>
        <w:t>１、依据相关法律法规对城乡规划区内的建设用地和建设行为进行监察；</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rPr>
        <w:t>２、对城市道路施工、建筑占道、挖掘、管养以及损坏桥涵、排水设施等方面的行为进行监察；</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rPr>
        <w:t>３、对城市供气、供热、公共交通设施等方面进行监察；</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rPr>
        <w:t>４、对损坏城市公共绿地、花草、树木、城市绿化设施以及城市园林设施等违法行为进行监察；</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rPr>
        <w:t>５、对风景名胜区的规划、建设、管理等违法行为进行监察；</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rPr>
        <w:t>６、对住宅建设、房地产开发经营进行监察；</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rPr>
        <w:t>７、依据建筑市场、工程招投标、工程建设、建设监理、勘察设计、建筑工程质量安全、标准定额等方面的法律法规和规章进行监察；</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rPr>
        <w:t>８、参与建设工程开工验线及规划验收工作；</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９、法律法规、规章规定的其他方面的城建监察。</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eastAsia" w:ascii="仿宋_GB2312" w:hAnsi="Times New Roman" w:eastAsia="仿宋_GB2312" w:cs="Times New Roman"/>
          <w:kern w:val="0"/>
          <w:sz w:val="32"/>
          <w:szCs w:val="32"/>
          <w:highlight w:val="none"/>
          <w:lang w:val="en-US" w:eastAsia="zh-CN"/>
        </w:rPr>
        <w:t>机构设置及人员情况。</w:t>
      </w:r>
      <w:r>
        <w:rPr>
          <w:rFonts w:hint="default" w:ascii="仿宋_GB2312" w:hAnsi="Times New Roman" w:eastAsia="仿宋_GB2312" w:cs="Times New Roman"/>
          <w:kern w:val="0"/>
          <w:sz w:val="32"/>
          <w:szCs w:val="32"/>
          <w:highlight w:val="none"/>
          <w:lang w:val="en-US" w:eastAsia="zh-CN"/>
        </w:rPr>
        <w:t xml:space="preserve"> </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rPr>
        <w:t>泽普县</w:t>
      </w:r>
      <w:r>
        <w:rPr>
          <w:rFonts w:hint="eastAsia" w:ascii="仿宋_GB2312" w:hAnsi="Times New Roman" w:eastAsia="仿宋_GB2312" w:cs="Times New Roman"/>
          <w:kern w:val="0"/>
          <w:sz w:val="32"/>
          <w:szCs w:val="32"/>
          <w:highlight w:val="none"/>
        </w:rPr>
        <w:t>城乡综合执法局于</w:t>
      </w:r>
      <w:r>
        <w:rPr>
          <w:rFonts w:hint="default" w:ascii="仿宋_GB2312" w:hAnsi="Times New Roman" w:eastAsia="仿宋_GB2312" w:cs="Times New Roman"/>
          <w:kern w:val="0"/>
          <w:sz w:val="32"/>
          <w:szCs w:val="32"/>
          <w:highlight w:val="none"/>
        </w:rPr>
        <w:t>2011</w:t>
      </w:r>
      <w:r>
        <w:rPr>
          <w:rFonts w:hint="eastAsia" w:ascii="仿宋_GB2312" w:hAnsi="Times New Roman" w:eastAsia="仿宋_GB2312" w:cs="Times New Roman"/>
          <w:kern w:val="0"/>
          <w:sz w:val="32"/>
          <w:szCs w:val="32"/>
          <w:highlight w:val="none"/>
        </w:rPr>
        <w:t>年成立，隶属县人民政府，机构规格为副科级，编制员额为全额事业编制</w:t>
      </w:r>
      <w:r>
        <w:rPr>
          <w:rFonts w:hint="default" w:ascii="仿宋_GB2312" w:hAnsi="Times New Roman" w:eastAsia="仿宋_GB2312" w:cs="Times New Roman"/>
          <w:kern w:val="0"/>
          <w:sz w:val="32"/>
          <w:szCs w:val="32"/>
          <w:highlight w:val="none"/>
        </w:rPr>
        <w:t>7</w:t>
      </w:r>
      <w:r>
        <w:rPr>
          <w:rFonts w:hint="eastAsia" w:ascii="仿宋_GB2312" w:hAnsi="Times New Roman" w:eastAsia="仿宋_GB2312" w:cs="Times New Roman"/>
          <w:kern w:val="0"/>
          <w:sz w:val="32"/>
          <w:szCs w:val="32"/>
          <w:highlight w:val="none"/>
        </w:rPr>
        <w:t>人（参照公务员管理），无内设机构。</w:t>
      </w:r>
      <w:r>
        <w:rPr>
          <w:rFonts w:hint="default" w:ascii="仿宋_GB2312" w:hAnsi="Times New Roman" w:eastAsia="仿宋_GB2312" w:cs="Times New Roman"/>
          <w:kern w:val="0"/>
          <w:sz w:val="32"/>
          <w:szCs w:val="32"/>
          <w:highlight w:val="none"/>
        </w:rPr>
        <w:t>实有在职人数6人</w:t>
      </w:r>
      <w:r>
        <w:rPr>
          <w:rFonts w:hint="eastAsia" w:ascii="仿宋_GB2312" w:hAnsi="Times New Roman" w:eastAsia="仿宋_GB2312" w:cs="Times New Roman"/>
          <w:kern w:val="0"/>
          <w:sz w:val="32"/>
          <w:szCs w:val="32"/>
          <w:highlight w:val="none"/>
        </w:rPr>
        <w:t>，其中参照公务员５人，事业１人</w:t>
      </w:r>
      <w:r>
        <w:rPr>
          <w:rFonts w:hint="default" w:ascii="仿宋_GB2312" w:hAnsi="Times New Roman" w:eastAsia="仿宋_GB2312" w:cs="Times New Roman"/>
          <w:kern w:val="0"/>
          <w:sz w:val="32"/>
          <w:szCs w:val="32"/>
          <w:highlight w:val="none"/>
        </w:rPr>
        <w:t>，退休1人，属于一般公共预算财政拨款开支6</w:t>
      </w:r>
      <w:r>
        <w:rPr>
          <w:rFonts w:hint="eastAsia" w:ascii="仿宋_GB2312" w:hAnsi="Times New Roman" w:eastAsia="仿宋_GB2312" w:cs="Times New Roman"/>
          <w:kern w:val="0"/>
          <w:sz w:val="32"/>
          <w:szCs w:val="32"/>
          <w:highlight w:val="none"/>
        </w:rPr>
        <w:t>人。</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二、部门决算单位构成。</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eastAsia" w:ascii="仿宋_GB2312" w:hAnsi="Times New Roman" w:eastAsia="仿宋_GB2312" w:cs="Times New Roman"/>
          <w:kern w:val="0"/>
          <w:sz w:val="32"/>
          <w:szCs w:val="32"/>
          <w:highlight w:val="none"/>
          <w:lang w:val="en-US" w:eastAsia="zh-CN"/>
        </w:rPr>
        <w:t>从决算单位构成看，泽普县城乡综合执法局部门决算包括：</w:t>
      </w:r>
      <w:r>
        <w:rPr>
          <w:rFonts w:hint="default" w:ascii="仿宋_GB2312" w:hAnsi="Times New Roman" w:eastAsia="仿宋_GB2312" w:cs="Times New Roman"/>
          <w:kern w:val="0"/>
          <w:sz w:val="32"/>
          <w:szCs w:val="32"/>
          <w:highlight w:val="none"/>
          <w:lang w:val="en-US" w:eastAsia="zh-CN"/>
        </w:rPr>
        <w:t xml:space="preserve"> 2017</w:t>
      </w:r>
      <w:r>
        <w:rPr>
          <w:rFonts w:hint="eastAsia" w:ascii="仿宋_GB2312" w:hAnsi="Times New Roman" w:eastAsia="仿宋_GB2312" w:cs="Times New Roman"/>
          <w:kern w:val="0"/>
          <w:sz w:val="32"/>
          <w:szCs w:val="32"/>
          <w:highlight w:val="none"/>
          <w:lang w:val="en-US" w:eastAsia="zh-CN"/>
        </w:rPr>
        <w:t>年部门决算编制范围的有泽普县城乡综合执法局纳入财政供养范围内的办公室、科室。</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纳入泽普县城乡综合执法局2017年部门决算编制范围的单位名单见下表：</w:t>
      </w:r>
    </w:p>
    <w:tbl>
      <w:tblPr>
        <w:tblStyle w:val="6"/>
        <w:tblpPr w:leftFromText="180" w:rightFromText="180" w:vertAnchor="text" w:horzAnchor="page" w:tblpX="1533" w:tblpY="257"/>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019"/>
        <w:gridCol w:w="3220"/>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序号</w:t>
            </w:r>
          </w:p>
        </w:tc>
        <w:tc>
          <w:tcPr>
            <w:tcW w:w="3220" w:type="dxa"/>
            <w:tcBorders>
              <w:top w:val="single" w:color="auto" w:sz="4" w:space="0"/>
              <w:left w:val="nil"/>
              <w:bottom w:val="single" w:color="auto" w:sz="4" w:space="0"/>
              <w:right w:val="single" w:color="auto" w:sz="4" w:space="0"/>
            </w:tcBorders>
            <w:shd w:val="clear" w:color="auto" w:fill="auto"/>
            <w:vAlign w:val="center"/>
          </w:tcPr>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单位名称</w:t>
            </w:r>
          </w:p>
        </w:tc>
        <w:tc>
          <w:tcPr>
            <w:tcW w:w="2821" w:type="dxa"/>
            <w:tcBorders>
              <w:top w:val="single" w:color="auto" w:sz="4" w:space="0"/>
              <w:left w:val="nil"/>
              <w:bottom w:val="single" w:color="auto" w:sz="4" w:space="0"/>
              <w:right w:val="single" w:color="auto" w:sz="4" w:space="0"/>
            </w:tcBorders>
            <w:shd w:val="clear" w:color="auto" w:fill="auto"/>
            <w:vAlign w:val="center"/>
          </w:tcPr>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35"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1</w:t>
            </w:r>
          </w:p>
        </w:tc>
        <w:tc>
          <w:tcPr>
            <w:tcW w:w="3220" w:type="dxa"/>
            <w:tcBorders>
              <w:top w:val="single" w:color="auto" w:sz="4" w:space="0"/>
              <w:left w:val="nil"/>
              <w:bottom w:val="single" w:color="auto" w:sz="4" w:space="0"/>
              <w:right w:val="single" w:color="auto" w:sz="4" w:space="0"/>
            </w:tcBorders>
            <w:shd w:val="clear" w:color="auto" w:fill="auto"/>
            <w:vAlign w:val="center"/>
          </w:tcPr>
          <w:p>
            <w:pPr>
              <w:spacing w:line="500" w:lineRule="exact"/>
              <w:jc w:val="center"/>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泽普县城乡综合执法局本级</w:t>
            </w:r>
          </w:p>
        </w:tc>
        <w:tc>
          <w:tcPr>
            <w:tcW w:w="2821" w:type="dxa"/>
            <w:tcBorders>
              <w:top w:val="single" w:color="auto" w:sz="4" w:space="0"/>
              <w:left w:val="nil"/>
              <w:bottom w:val="single" w:color="auto" w:sz="4" w:space="0"/>
              <w:right w:val="single" w:color="auto" w:sz="4" w:space="0"/>
            </w:tcBorders>
            <w:shd w:val="clear" w:color="auto" w:fill="auto"/>
            <w:vAlign w:val="center"/>
          </w:tcPr>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 xml:space="preserve"> </w:t>
            </w:r>
          </w:p>
        </w:tc>
        <w:tc>
          <w:tcPr>
            <w:tcW w:w="3220" w:type="dxa"/>
            <w:tcBorders>
              <w:top w:val="single" w:color="auto" w:sz="4" w:space="0"/>
              <w:left w:val="nil"/>
              <w:bottom w:val="single" w:color="auto" w:sz="4" w:space="0"/>
              <w:right w:val="single" w:color="auto" w:sz="4" w:space="0"/>
            </w:tcBorders>
            <w:shd w:val="clear" w:color="auto" w:fill="auto"/>
            <w:vAlign w:val="center"/>
          </w:tcPr>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 xml:space="preserve"> </w:t>
            </w:r>
          </w:p>
        </w:tc>
        <w:tc>
          <w:tcPr>
            <w:tcW w:w="2821" w:type="dxa"/>
            <w:tcBorders>
              <w:top w:val="single" w:color="auto" w:sz="4" w:space="0"/>
              <w:left w:val="nil"/>
              <w:bottom w:val="single" w:color="auto" w:sz="4" w:space="0"/>
              <w:right w:val="single" w:color="auto" w:sz="4" w:space="0"/>
            </w:tcBorders>
            <w:shd w:val="clear" w:color="auto" w:fill="auto"/>
            <w:vAlign w:val="center"/>
          </w:tcPr>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 xml:space="preserve"> </w:t>
            </w:r>
          </w:p>
        </w:tc>
      </w:tr>
    </w:tbl>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 xml:space="preserve"> </w:t>
      </w:r>
    </w:p>
    <w:p>
      <w:pPr>
        <w:keepNext w:val="0"/>
        <w:keepLines w:val="0"/>
        <w:widowControl/>
        <w:suppressLineNumbers w:val="0"/>
        <w:spacing w:before="0" w:beforeAutospacing="0" w:after="0" w:afterAutospacing="0" w:line="500" w:lineRule="exact"/>
        <w:ind w:left="0" w:right="0" w:firstLine="640" w:firstLineChars="200"/>
        <w:jc w:val="left"/>
      </w:pPr>
      <w:r>
        <w:rPr>
          <w:rFonts w:hint="default" w:ascii="Times New Roman" w:hAnsi="Times New Roman" w:eastAsia="方正小标宋_GBK"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pPr>
      <w:r>
        <w:rPr>
          <w:rFonts w:hint="eastAsia" w:ascii="黑体" w:hAnsi="宋体" w:eastAsia="黑体" w:cs="黑体"/>
          <w:kern w:val="0"/>
          <w:sz w:val="32"/>
          <w:szCs w:val="32"/>
          <w:shd w:val="clear" w:fill="FFFFFF"/>
          <w:lang w:val="en-US" w:eastAsia="zh-CN" w:bidi="ar"/>
        </w:rPr>
        <w:t>第二部分</w:t>
      </w:r>
      <w:r>
        <w:rPr>
          <w:rFonts w:hint="default" w:ascii="Times New Roman" w:hAnsi="Times New Roman"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部门决算情况说明</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一、部门收支总体情况</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（一）部门收入支出决算总体情况说明（Z01表、02表）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2017年度收入210.77万元,与上年249.35万元相比，减少38.58万元，降低15.47%，支出210.77万元,与上年249.35万元相比，减少38.58 万元，降低15.47%，结余0万元，与上年0万元相比，增加（减少）0万元，增长（降低）0%。增减变化主要原因是：退休1人，人员工资减少。</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与预算相比情况： 2017年度收入210.77万 元,比年初预算数232.47万元减少21.7万元，2017年度支出210.77 万元,比年初预算数232.47万元减少21.7万元，原因是人员工资调整，支出比年初预算数减少。</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（二）部门收入总体情况说明（Z03表）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本年收入合计210.77万 元，其中：财政拨款收入210.77万 元，占100%；上级补助收入0万元，占0%；事业收入０万元，占０%；经营收入０万元，占０%；附属单位缴款０万元，占０%；其他收入０万元，占０%。增减变化的主要原因是：退休1人，人员工资减少。</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 xml:space="preserve">与预算相比情况：收入210.77万元，较预算232.47万元减少21.7万元，减少因人员工资调整。 </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（三）部门支出总体情况说明（Z04表）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本年支出合计210.77 万元，其中：基本支出210.77万元，占100%；项目支出0万元，占0%；上缴上级支出0万元，占０%；经营支出０万元，占０%；对附属单位补助支出０万元，占０%。增减变化的主要原因是：退休1人，人员工资减少。</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与预算相比情况：支出210.77万元较预算232.47万元减少了21.7万元,主要原因是人员工资调整。</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二、部门财政拨款收支情况</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（一）财政拨款收支总体情况说明（Z01-1、07、08表）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2017年度收入210.77万元,与上年249.35万元相比，减少38.58万元，降低15.47%，增减变化的主要原因是：退休1人，人员工资减少。财政拨款支出210.77万元，与上年249.35万元相比， 减少38.58万元， 降低15.47%。其中：基本支出210.77万元，项目支出0万元。增减变化的主要原因是人员减少。财政拨款结转结余0万元，与上年0万元相比，增加（减少）0万元，增长（降低）0%。增减变化的主要原因是无。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与预算相比情况：与年初预算数232.47万元相比，减少21.7万元，因人员工资调整，支出比年初预算数减少。</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（二）一般公共预算支出决算情况说明（Z08表）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2017年度一般公共预算财政拨款支出210.77万元。与上年249.35万元相比，减少38.58万元，降低15.47%。增减变化的主要原因是：退休1人，人员工资减少。</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其中：按功能分类科目分</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社会保障和就业支出 8.88万元；</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城乡社区支出 196.14万元；</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住房保障支出5.75万元。</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按经济分类科目</w:t>
      </w:r>
      <w:r>
        <w:rPr>
          <w:rFonts w:hint="eastAsia" w:ascii="仿宋_GB2312" w:hAnsi="Times New Roman" w:eastAsia="仿宋_GB2312" w:cs="Times New Roman"/>
          <w:kern w:val="0"/>
          <w:sz w:val="32"/>
          <w:szCs w:val="32"/>
          <w:highlight w:val="none"/>
          <w:lang w:val="en-US" w:eastAsia="zh-CN"/>
        </w:rPr>
        <w:t>分：</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eastAsia" w:ascii="仿宋_GB2312" w:hAnsi="Times New Roman" w:eastAsia="仿宋_GB2312" w:cs="Times New Roman"/>
          <w:kern w:val="0"/>
          <w:sz w:val="32"/>
          <w:szCs w:val="32"/>
          <w:highlight w:val="none"/>
          <w:lang w:val="en-US" w:eastAsia="zh-CN"/>
        </w:rPr>
        <w:t xml:space="preserve">工资福利支出 </w:t>
      </w:r>
      <w:r>
        <w:rPr>
          <w:rFonts w:hint="default" w:ascii="仿宋_GB2312" w:hAnsi="Times New Roman" w:eastAsia="仿宋_GB2312" w:cs="Times New Roman"/>
          <w:kern w:val="0"/>
          <w:sz w:val="32"/>
          <w:szCs w:val="32"/>
          <w:highlight w:val="none"/>
          <w:lang w:val="en-US" w:eastAsia="zh-CN"/>
        </w:rPr>
        <w:t>190.91</w:t>
      </w:r>
      <w:r>
        <w:rPr>
          <w:rFonts w:hint="eastAsia" w:ascii="仿宋_GB2312" w:hAnsi="Times New Roman" w:eastAsia="仿宋_GB2312" w:cs="Times New Roman"/>
          <w:kern w:val="0"/>
          <w:sz w:val="32"/>
          <w:szCs w:val="32"/>
          <w:highlight w:val="none"/>
          <w:lang w:val="en-US" w:eastAsia="zh-CN"/>
        </w:rPr>
        <w:t>万元</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eastAsia" w:ascii="仿宋_GB2312" w:hAnsi="Times New Roman" w:eastAsia="仿宋_GB2312" w:cs="Times New Roman"/>
          <w:kern w:val="0"/>
          <w:sz w:val="32"/>
          <w:szCs w:val="32"/>
          <w:highlight w:val="none"/>
          <w:lang w:val="en-US" w:eastAsia="zh-CN"/>
        </w:rPr>
        <w:t xml:space="preserve">商品和服务支出 </w:t>
      </w:r>
      <w:r>
        <w:rPr>
          <w:rFonts w:hint="default" w:ascii="仿宋_GB2312" w:hAnsi="Times New Roman" w:eastAsia="仿宋_GB2312" w:cs="Times New Roman"/>
          <w:kern w:val="0"/>
          <w:sz w:val="32"/>
          <w:szCs w:val="32"/>
          <w:highlight w:val="none"/>
          <w:lang w:val="en-US" w:eastAsia="zh-CN"/>
        </w:rPr>
        <w:t>9.40</w:t>
      </w:r>
      <w:r>
        <w:rPr>
          <w:rFonts w:hint="eastAsia" w:ascii="仿宋_GB2312" w:hAnsi="Times New Roman" w:eastAsia="仿宋_GB2312" w:cs="Times New Roman"/>
          <w:kern w:val="0"/>
          <w:sz w:val="32"/>
          <w:szCs w:val="32"/>
          <w:highlight w:val="none"/>
          <w:lang w:val="en-US" w:eastAsia="zh-CN"/>
        </w:rPr>
        <w:t>万元</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eastAsia" w:ascii="仿宋_GB2312" w:hAnsi="Times New Roman" w:eastAsia="仿宋_GB2312" w:cs="Times New Roman"/>
          <w:kern w:val="0"/>
          <w:sz w:val="32"/>
          <w:szCs w:val="32"/>
          <w:highlight w:val="none"/>
          <w:lang w:val="en-US" w:eastAsia="zh-CN"/>
        </w:rPr>
        <w:t xml:space="preserve">对个人和家庭的补助 </w:t>
      </w:r>
      <w:r>
        <w:rPr>
          <w:rFonts w:hint="default" w:ascii="仿宋_GB2312" w:hAnsi="Times New Roman" w:eastAsia="仿宋_GB2312" w:cs="Times New Roman"/>
          <w:kern w:val="0"/>
          <w:sz w:val="32"/>
          <w:szCs w:val="32"/>
          <w:highlight w:val="none"/>
          <w:lang w:val="en-US" w:eastAsia="zh-CN"/>
        </w:rPr>
        <w:t>10.46</w:t>
      </w:r>
      <w:r>
        <w:rPr>
          <w:rFonts w:hint="eastAsia" w:ascii="仿宋_GB2312" w:hAnsi="Times New Roman" w:eastAsia="仿宋_GB2312" w:cs="Times New Roman"/>
          <w:kern w:val="0"/>
          <w:sz w:val="32"/>
          <w:szCs w:val="32"/>
          <w:highlight w:val="none"/>
          <w:lang w:val="en-US" w:eastAsia="zh-CN"/>
        </w:rPr>
        <w:t>万元</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与预算相比情况：支出210.77万元与年初预算数92.63万元，增加118.14万元，主要原因是将38名自聘城市管理协管人员工资纳入其中。</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（三）政府性基金预算收支决算情况说明（Z01-1、10表）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2017年度政府性基金预算财政拨款收入0万元，与上年0万元相比，增加（减少）0万元，增长（降低）0%。增减变化的主要原因是无。政府性基金预算财政拨款支出0万元，与上年0万元相比，增加（减少）0万元，增长（降低）0%。增减变化的主要原因是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与预算相比情况：无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（四）政府性基金预算支出决算情况说明（Z10表）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2017年度政府性基金预算支出０万元。与上年0万元相比，增加（减少）０万元，增长（降低）０%。增减变化的主要原因是无。其中：按功能分类科目，无。按经济分类科目，无。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与预算相比情况：无。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三、部门结转结余情况（Z01、02表）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年末结转结余0万元。与上年0万元相比，增加（减少）０万元，增长（降低）０%。</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其中财政拨款结转结余０万元。与上年0万元相比，增加（减少）元，增长（降低）0%。</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四、一般公共预算“三公”经费支出情况（CS05表）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2017年度一般公共预算“三公”经费支出决算2.27万元，比上年2.49万元减少0.22元，降低8.79%，减少原因是为贯彻落实中央八项规定上、自治区、地区和县委十项规定及群众路线教育活动的有关正风肃纪立行立改等一系列厉行节约制止奢侈浪费的要求，泽普县城乡综合执法局在保证完成任务的前提下，提高办事效率，缩减了经费的预算。其中，因公出国（境）费支出0万元，占0%，比上年增加（减少）0万元，增长（降低）0%，增加（减少）原因是无；公务用车购置及运行维护费支出2.27元，占100%，比上年2.49万元减少0.22万元，降低8.79%，减少原因是为贯彻落实中央八项规定上、自治区、地区和县委十项规定及群众路线教育活动的有关正风肃纪立行立改等一系列厉行节约制止奢侈浪费的要求，泽普县城乡综合执法局在保证完成任务的前提下，提高办事效率，缩减了经费的预算；公务接待费支出0万元，占0%，比上年增加（减少）0万元，增长（降低）0%，增加（减少）原因是元。具体情况如下：</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因公出国（境）费支出0万元。 全年使用一般公共预算财政拨款安排的出国（境）团组0个，累计0人次。开支内容包括：无。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公务用车购置及运行维护费2.27万元,其中，公务用车购置0万元，公务用车运行维护费2.27万元。主要用于车辆用油、保险、维修等。2017年，单位一般公共财政拨款安排的公务用车购置量0辆，保有量为2辆。</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公务接待费0万元。具体是：国内公务接待支出0万元，主要是：无。 国内公务接待0批次，0人次。</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与预算相比情况：无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五、机关运行经费支出情况（CS05表）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2017年度泽普县城乡综合执法局机关运行经费支出9.41万元，比上年6.15万元增加3.26万元，增长53.06%，主要原因是购买了执法记录仪及车锁。</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六、政府采购情况（CS06表）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泽普县城乡综合执法局政府采购计划0万元，其中：政府采购货物支出0万元、政府采购工程支出0万元、政府采购服务支出0万元；实际采购0万元，其中：政府采购货物支出0万元、政府采购工程支出0万元、政府采购服务支出0万元。</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七、其他重要事项的情况</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（一）国有资产占用情况说明（Z12、F01表）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截至2017年12月31日，资产总计41.87万元，其中：流动资产15.55元，固定资产26.32元，其中：房屋0（平方米），价值0元，共有车辆2辆，价值16.78万元，其中：部级领导干部用车0辆、一般公务用</w:t>
      </w:r>
      <w:bookmarkStart w:id="0" w:name="_GoBack"/>
      <w:bookmarkEnd w:id="0"/>
      <w:r>
        <w:rPr>
          <w:rFonts w:hint="default" w:ascii="仿宋_GB2312" w:hAnsi="Times New Roman" w:eastAsia="仿宋_GB2312" w:cs="Times New Roman"/>
          <w:kern w:val="0"/>
          <w:sz w:val="32"/>
          <w:szCs w:val="32"/>
          <w:highlight w:val="none"/>
          <w:lang w:val="en-US" w:eastAsia="zh-CN"/>
        </w:rPr>
        <w:t>车2辆、一般执法执勤用车0辆、特种专业技术用车0辆、其他用车0辆（其他用车主要是：无）；单位价值50万元以上通用设备0台（套）、单位价值100万元以上专用设备0台（套），其他固定资产价值9.54万元。</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（二）国有资产收益征缴情况说明（F02表）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截至2017年12月31日，泽普县资产有偿使用收入合计0万元，资产处置收入合计0万元。其中：已缴国库0万元，已缴财政专户0万元，应缴未缴0万元，单位留用0万元。</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（三）部门项目支出情况和项目绩效评价情况说明（Z06表）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2017年度，本部门单位实.</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行绩效管理的项目0个，涉及预算0万元，项目支出决算0万元。年末本部门单位民生项目和重点支出项目的绩效评价开展情况及结果：无.</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pPr>
      <w:r>
        <w:rPr>
          <w:rFonts w:hint="default" w:ascii="方正小标宋_GBK" w:hAnsi="Times New Roman" w:eastAsia="Times New Roman"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jc w:val="center"/>
      </w:pPr>
      <w:r>
        <w:rPr>
          <w:rFonts w:hint="eastAsia" w:ascii="黑体" w:hAnsi="宋体" w:eastAsia="黑体" w:cs="黑体"/>
          <w:kern w:val="0"/>
          <w:sz w:val="32"/>
          <w:szCs w:val="32"/>
          <w:shd w:val="clear" w:fill="FFFFFF"/>
          <w:lang w:val="en-US" w:eastAsia="zh-CN" w:bidi="ar"/>
        </w:rPr>
        <w:t>第三部分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专业名词解释</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财政拨款收入：指同级财政当年拨付的资金。</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上级补助收入：指事业单位从主管部门和上级单位取得的非财政补助收入。</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事业收入：指事业单位开展专业业务活动及其辅助活动所取得的收入。</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经营收入：指事业单位在专业业务活动及其辅助活动之外开展非独立核算经营活动取得的收入。</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附属单位缴款：指事业单位附属的独立核算单位按有关规定上缴的收入。</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其他收入：指除上述“财政拨款收入”、“事业收入”、“经营收入”、“附属单位缴款”等之外取得的收入。</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上年结转和结余：指以前年度支出预算因客观条件变化未执行完毕、结转到本年度按有关规定继续使用的资金，既包括财政拨款结转和结余，也包括事业收入、经营收入、其他收入的结转和结余。</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结余分配：反映单位当年结余的分配情况。</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基本支出：指为保障机构正常运转、完成日常工作任务而发生的人员支出和公用支出。</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项目支出：指在基本支出之外为完成特定行政任务和事业发展目标所发生的支出。</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经营支出：指事业单位在专业业务活动及其辅助活动之外开展非独立核算经营活动发生的支出。</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对附属单位补助支出：指事业单位发生的用非财政预算资金对附属单位的补助支出。</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本单位支出功能分类说明。2120101：指城乡社区管理事务行政单位（包括实行公务员管理的事业单位）的基本支出。</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pPr>
      <w:r>
        <w:rPr>
          <w:rFonts w:hint="default" w:ascii="方正小标宋_GBK" w:hAnsi="Times New Roman" w:eastAsia="Times New Roman"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pPr>
      <w:r>
        <w:rPr>
          <w:rFonts w:hint="eastAsia" w:ascii="黑体" w:hAnsi="宋体" w:eastAsia="黑体" w:cs="黑体"/>
          <w:kern w:val="0"/>
          <w:sz w:val="32"/>
          <w:szCs w:val="32"/>
          <w:shd w:val="clear" w:fill="FFFFFF"/>
          <w:lang w:val="en-US" w:eastAsia="zh-CN" w:bidi="ar"/>
        </w:rPr>
        <w:t>第四部分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部门决算报表（见附表）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一、报表封面</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二、《收入支出决算总表》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三、《收入决算表》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四、《支出决算表》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五、《收入支出决算表》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六、《项目收入支出决算表》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七、《行政事业类项目收入支出决算表》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八、《基本建设类项目收入支出决算表》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九、《支出决算明细表》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十、《基本支出决算明细表》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十一、《项目支出决算明细表》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十二、《财政专户管理资金收入支出决算表》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十三、《财政拨款收入支出决算总表》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十四、《一般公共预算财政拨款收入支出决算表》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十五、《一般公共预算财政拨款支出决算明细表》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十六、《一般公共预算财政拨款基本支出决算明细表》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十七、《一般公共预算财政拨款项目支出决算明细表》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十八、《政府性基金预算财政拨款收入支出决算表》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十九、《政府性基金预算财政拨款支出决算明细表》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二十、《政府性基金预算财政拨款基本支出决算明细表》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二十一、《政府性基金预算财政拨款项目支出决算明细表》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二十二、《资产负债简表》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二十三、《资产情况表》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二十四、《国有资产收益征缴情况表》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二十五、《基本数字表》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二十六、《机构人员情况表》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二十七、《非税收入征缴情况表》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二十八、《部门决算相关信息统计表》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二十九、《政府采购情况表》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三十、《2017年度一般公共预算“三公”经费支出情况表》</w:t>
      </w:r>
    </w:p>
    <w:p>
      <w:pPr>
        <w:spacing w:line="500" w:lineRule="exact"/>
        <w:ind w:firstLine="640" w:firstLineChars="200"/>
        <w:rPr>
          <w:rFonts w:hint="eastAsia" w:ascii="仿宋_GB2312" w:hAnsi="Times New Roman" w:eastAsia="仿宋_GB2312" w:cs="Times New Roman"/>
          <w:kern w:val="0"/>
          <w:sz w:val="32"/>
          <w:szCs w:val="32"/>
          <w:highlight w:val="none"/>
        </w:rPr>
      </w:pPr>
      <w:r>
        <w:rPr>
          <w:rFonts w:hint="default" w:ascii="仿宋_GB2312" w:hAnsi="Times New Roman" w:eastAsia="仿宋_GB2312" w:cs="Times New Roman"/>
          <w:kern w:val="0"/>
          <w:sz w:val="32"/>
          <w:szCs w:val="32"/>
          <w:highlight w:val="none"/>
          <w:lang w:val="en-US" w:eastAsia="zh-CN"/>
        </w:rPr>
        <w:t>三十一、2017年部门决算公开情况核实表</w:t>
      </w:r>
    </w:p>
    <w:p>
      <w:pPr>
        <w:keepNext w:val="0"/>
        <w:keepLines w:val="0"/>
        <w:widowControl/>
        <w:suppressLineNumbers w:val="0"/>
        <w:spacing w:before="0" w:beforeAutospacing="0" w:after="0" w:afterAutospacing="0"/>
        <w:ind w:left="0" w:right="0"/>
        <w:jc w:val="left"/>
      </w:pPr>
      <w:r>
        <w:rPr>
          <w:rFonts w:hint="eastAsia" w:ascii="黑体" w:hAnsi="Times New Roman" w:eastAsia="黑体" w:cs="Times New Roman"/>
          <w:kern w:val="0"/>
          <w:sz w:val="28"/>
          <w:szCs w:val="28"/>
          <w:shd w:val="clear" w:fill="FFFFFF"/>
          <w:lang w:val="en-US" w:eastAsia="zh-CN" w:bidi="ar"/>
        </w:rPr>
        <w:t xml:space="preserve"> </w:t>
      </w:r>
    </w:p>
    <w:p>
      <w:pPr>
        <w:keepNext w:val="0"/>
        <w:keepLines w:val="0"/>
        <w:widowControl/>
        <w:suppressLineNumbers w:val="0"/>
        <w:spacing w:before="0" w:beforeAutospacing="0" w:after="0" w:afterAutospacing="0"/>
        <w:ind w:left="0" w:right="0"/>
        <w:jc w:val="left"/>
      </w:pPr>
      <w:r>
        <w:rPr>
          <w:rFonts w:hint="default" w:ascii="Times New Roman" w:hAnsi="Times New Roman" w:eastAsia="宋体" w:cs="Times New Roman"/>
          <w:kern w:val="0"/>
          <w:sz w:val="21"/>
          <w:szCs w:val="21"/>
          <w:shd w:val="clear" w:fill="FFFFFF"/>
          <w:lang w:val="en-US" w:eastAsia="zh-CN" w:bidi="ar"/>
        </w:rPr>
        <w:t xml:space="preserve"> </w:t>
      </w:r>
    </w:p>
    <w:p>
      <w:pPr>
        <w:keepNext w:val="0"/>
        <w:keepLines w:val="0"/>
        <w:widowControl/>
        <w:suppressLineNumbers w:val="0"/>
        <w:spacing w:before="0" w:beforeAutospacing="0" w:after="0" w:afterAutospacing="0"/>
        <w:ind w:left="0" w:right="0" w:firstLine="240" w:firstLineChars="100"/>
        <w:jc w:val="left"/>
        <w:rPr>
          <w:rFonts w:hint="eastAsia" w:ascii="黑体" w:hAnsi="宋体" w:eastAsia="黑体" w:cs="Times New Roman"/>
          <w:kern w:val="0"/>
          <w:sz w:val="32"/>
          <w:szCs w:val="32"/>
        </w:rPr>
      </w:pPr>
      <w:r>
        <w:rPr>
          <w:rFonts w:hint="eastAsia" w:ascii="黑体" w:hAnsi="宋体" w:eastAsia="黑体" w:cs="Times New Roman"/>
          <w:kern w:val="0"/>
          <w:sz w:val="24"/>
          <w:szCs w:val="24"/>
          <w:shd w:val="clear" w:fill="FFFFFF"/>
          <w:lang w:val="en-US" w:eastAsia="zh-CN" w:bidi="ar"/>
        </w:rPr>
        <w:t xml:space="preserve"> </w:t>
      </w:r>
      <w:r>
        <w:rPr>
          <w:rFonts w:hint="eastAsia" w:ascii="黑体" w:hAnsi="宋体" w:eastAsia="黑体" w:cs="Times New Roman"/>
          <w:kern w:val="0"/>
          <w:sz w:val="32"/>
          <w:szCs w:val="32"/>
          <w:shd w:val="clear" w:fill="FFFFFF"/>
          <w:lang w:val="en-US" w:eastAsia="zh-CN" w:bidi="ar"/>
        </w:rPr>
        <w:fldChar w:fldCharType="begin"/>
      </w:r>
      <w:r>
        <w:rPr>
          <w:rFonts w:hint="eastAsia" w:ascii="黑体" w:hAnsi="宋体" w:eastAsia="黑体" w:cs="Times New Roman"/>
          <w:kern w:val="0"/>
          <w:sz w:val="32"/>
          <w:szCs w:val="32"/>
          <w:shd w:val="clear" w:fill="FFFFFF"/>
          <w:lang w:val="en-US" w:eastAsia="zh-CN" w:bidi="ar"/>
        </w:rPr>
        <w:instrText xml:space="preserve"> HYPERLINK "http://www.xjzp.gov.cn/html/bmjsjjk/2018-9-13/1891314127414785.html" </w:instrText>
      </w:r>
      <w:r>
        <w:rPr>
          <w:rFonts w:hint="eastAsia" w:ascii="黑体" w:hAnsi="宋体" w:eastAsia="黑体" w:cs="Times New Roman"/>
          <w:kern w:val="0"/>
          <w:sz w:val="32"/>
          <w:szCs w:val="32"/>
          <w:shd w:val="clear" w:fill="FFFFFF"/>
          <w:lang w:val="en-US" w:eastAsia="zh-CN" w:bidi="ar"/>
        </w:rPr>
        <w:fldChar w:fldCharType="separate"/>
      </w:r>
      <w:r>
        <w:rPr>
          <w:rFonts w:hint="eastAsia" w:ascii="黑体" w:hAnsi="宋体" w:eastAsia="黑体" w:cs="Times New Roman"/>
          <w:kern w:val="0"/>
          <w:sz w:val="32"/>
          <w:szCs w:val="32"/>
          <w:shd w:val="clear" w:fill="FFFFFF"/>
          <w:lang w:val="en-US" w:eastAsia="zh-CN" w:bidi="ar"/>
        </w:rPr>
        <w:fldChar w:fldCharType="end"/>
      </w:r>
      <w:r>
        <w:rPr>
          <w:rFonts w:hint="eastAsia" w:ascii="黑体" w:hAnsi="宋体" w:eastAsia="黑体" w:cs="Times New Roman"/>
          <w:kern w:val="0"/>
          <w:sz w:val="32"/>
          <w:szCs w:val="32"/>
          <w:shd w:val="clear" w:fill="FFFFFF"/>
          <w:lang w:val="en-US" w:eastAsia="zh-CN" w:bidi="ar"/>
        </w:rPr>
        <w:fldChar w:fldCharType="begin"/>
      </w:r>
      <w:r>
        <w:rPr>
          <w:rFonts w:hint="eastAsia" w:ascii="黑体" w:hAnsi="宋体" w:eastAsia="黑体" w:cs="Times New Roman"/>
          <w:kern w:val="0"/>
          <w:sz w:val="32"/>
          <w:szCs w:val="32"/>
          <w:shd w:val="clear" w:fill="FFFFFF"/>
          <w:lang w:val="en-US" w:eastAsia="zh-CN" w:bidi="ar"/>
        </w:rPr>
        <w:instrText xml:space="preserve"> HYPERLINK "http://www.xjzp.gov.cn/html/bmjsjjk/2018-9-13/1891314127414785.html" \o "分享到QQ空间" </w:instrText>
      </w:r>
      <w:r>
        <w:rPr>
          <w:rFonts w:hint="eastAsia" w:ascii="黑体" w:hAnsi="宋体" w:eastAsia="黑体" w:cs="Times New Roman"/>
          <w:kern w:val="0"/>
          <w:sz w:val="32"/>
          <w:szCs w:val="32"/>
          <w:shd w:val="clear" w:fill="FFFFFF"/>
          <w:lang w:val="en-US" w:eastAsia="zh-CN" w:bidi="ar"/>
        </w:rPr>
        <w:fldChar w:fldCharType="separate"/>
      </w:r>
      <w:r>
        <w:rPr>
          <w:rFonts w:hint="eastAsia" w:ascii="黑体" w:hAnsi="宋体" w:eastAsia="黑体" w:cs="Times New Roman"/>
          <w:kern w:val="0"/>
          <w:sz w:val="32"/>
          <w:szCs w:val="32"/>
          <w:shd w:val="clear" w:fill="FFFFFF"/>
          <w:lang w:val="en-US" w:eastAsia="zh-CN" w:bidi="ar"/>
        </w:rPr>
        <w:fldChar w:fldCharType="end"/>
      </w:r>
      <w:r>
        <w:rPr>
          <w:rFonts w:hint="eastAsia" w:ascii="黑体" w:hAnsi="宋体" w:eastAsia="黑体" w:cs="Times New Roman"/>
          <w:kern w:val="0"/>
          <w:sz w:val="32"/>
          <w:szCs w:val="32"/>
          <w:shd w:val="clear" w:fill="FFFFFF"/>
          <w:lang w:val="en-US" w:eastAsia="zh-CN" w:bidi="ar"/>
        </w:rPr>
        <w:fldChar w:fldCharType="begin"/>
      </w:r>
      <w:r>
        <w:rPr>
          <w:rFonts w:hint="eastAsia" w:ascii="黑体" w:hAnsi="宋体" w:eastAsia="黑体" w:cs="Times New Roman"/>
          <w:kern w:val="0"/>
          <w:sz w:val="32"/>
          <w:szCs w:val="32"/>
          <w:shd w:val="clear" w:fill="FFFFFF"/>
          <w:lang w:val="en-US" w:eastAsia="zh-CN" w:bidi="ar"/>
        </w:rPr>
        <w:instrText xml:space="preserve"> HYPERLINK "http://www.xjzp.gov.cn/html/bmjsjjk/2018-9-13/1891314127414785.html" \o "分享到新浪微博" </w:instrText>
      </w:r>
      <w:r>
        <w:rPr>
          <w:rFonts w:hint="eastAsia" w:ascii="黑体" w:hAnsi="宋体" w:eastAsia="黑体" w:cs="Times New Roman"/>
          <w:kern w:val="0"/>
          <w:sz w:val="32"/>
          <w:szCs w:val="32"/>
          <w:shd w:val="clear" w:fill="FFFFFF"/>
          <w:lang w:val="en-US" w:eastAsia="zh-CN" w:bidi="ar"/>
        </w:rPr>
        <w:fldChar w:fldCharType="separate"/>
      </w:r>
      <w:r>
        <w:rPr>
          <w:rFonts w:hint="eastAsia" w:ascii="黑体" w:hAnsi="宋体" w:eastAsia="黑体" w:cs="Times New Roman"/>
          <w:kern w:val="0"/>
          <w:sz w:val="32"/>
          <w:szCs w:val="32"/>
          <w:shd w:val="clear" w:fill="FFFFFF"/>
          <w:lang w:val="en-US" w:eastAsia="zh-CN" w:bidi="ar"/>
        </w:rPr>
        <w:fldChar w:fldCharType="end"/>
      </w:r>
      <w:r>
        <w:rPr>
          <w:rFonts w:hint="eastAsia" w:ascii="黑体" w:hAnsi="宋体" w:eastAsia="黑体" w:cs="Times New Roman"/>
          <w:kern w:val="0"/>
          <w:sz w:val="32"/>
          <w:szCs w:val="32"/>
          <w:shd w:val="clear" w:fill="FFFFFF"/>
          <w:lang w:val="en-US" w:eastAsia="zh-CN" w:bidi="ar"/>
        </w:rPr>
        <w:fldChar w:fldCharType="begin"/>
      </w:r>
      <w:r>
        <w:rPr>
          <w:rFonts w:hint="eastAsia" w:ascii="黑体" w:hAnsi="宋体" w:eastAsia="黑体" w:cs="Times New Roman"/>
          <w:kern w:val="0"/>
          <w:sz w:val="32"/>
          <w:szCs w:val="32"/>
          <w:shd w:val="clear" w:fill="FFFFFF"/>
          <w:lang w:val="en-US" w:eastAsia="zh-CN" w:bidi="ar"/>
        </w:rPr>
        <w:instrText xml:space="preserve"> HYPERLINK "http://www.xjzp.gov.cn/html/bmjsjjk/2018-9-13/1891314127414785.html" \o "分享到腾讯微博" </w:instrText>
      </w:r>
      <w:r>
        <w:rPr>
          <w:rFonts w:hint="eastAsia" w:ascii="黑体" w:hAnsi="宋体" w:eastAsia="黑体" w:cs="Times New Roman"/>
          <w:kern w:val="0"/>
          <w:sz w:val="32"/>
          <w:szCs w:val="32"/>
          <w:shd w:val="clear" w:fill="FFFFFF"/>
          <w:lang w:val="en-US" w:eastAsia="zh-CN" w:bidi="ar"/>
        </w:rPr>
        <w:fldChar w:fldCharType="separate"/>
      </w:r>
      <w:r>
        <w:rPr>
          <w:rFonts w:hint="eastAsia" w:ascii="黑体" w:hAnsi="宋体" w:eastAsia="黑体" w:cs="Times New Roman"/>
          <w:kern w:val="0"/>
          <w:sz w:val="32"/>
          <w:szCs w:val="32"/>
          <w:shd w:val="clear" w:fill="FFFFFF"/>
          <w:lang w:val="en-US" w:eastAsia="zh-CN" w:bidi="ar"/>
        </w:rPr>
        <w:fldChar w:fldCharType="end"/>
      </w:r>
      <w:r>
        <w:rPr>
          <w:rFonts w:hint="eastAsia" w:ascii="黑体" w:hAnsi="宋体" w:eastAsia="黑体" w:cs="Times New Roman"/>
          <w:kern w:val="0"/>
          <w:sz w:val="32"/>
          <w:szCs w:val="32"/>
          <w:shd w:val="clear" w:fill="FFFFFF"/>
          <w:lang w:val="en-US" w:eastAsia="zh-CN" w:bidi="ar"/>
        </w:rPr>
        <w:fldChar w:fldCharType="begin"/>
      </w:r>
      <w:r>
        <w:rPr>
          <w:rFonts w:hint="eastAsia" w:ascii="黑体" w:hAnsi="宋体" w:eastAsia="黑体" w:cs="Times New Roman"/>
          <w:kern w:val="0"/>
          <w:sz w:val="32"/>
          <w:szCs w:val="32"/>
          <w:shd w:val="clear" w:fill="FFFFFF"/>
          <w:lang w:val="en-US" w:eastAsia="zh-CN" w:bidi="ar"/>
        </w:rPr>
        <w:instrText xml:space="preserve"> HYPERLINK "http://www.xjzp.gov.cn/html/bmjsjjk/2018-9-13/1891314127414785.html" \o "分享到人人网" </w:instrText>
      </w:r>
      <w:r>
        <w:rPr>
          <w:rFonts w:hint="eastAsia" w:ascii="黑体" w:hAnsi="宋体" w:eastAsia="黑体" w:cs="Times New Roman"/>
          <w:kern w:val="0"/>
          <w:sz w:val="32"/>
          <w:szCs w:val="32"/>
          <w:shd w:val="clear" w:fill="FFFFFF"/>
          <w:lang w:val="en-US" w:eastAsia="zh-CN" w:bidi="ar"/>
        </w:rPr>
        <w:fldChar w:fldCharType="separate"/>
      </w:r>
      <w:r>
        <w:rPr>
          <w:rFonts w:hint="eastAsia" w:ascii="黑体" w:hAnsi="宋体" w:eastAsia="黑体" w:cs="Times New Roman"/>
          <w:kern w:val="0"/>
          <w:sz w:val="32"/>
          <w:szCs w:val="32"/>
          <w:shd w:val="clear" w:fill="FFFFFF"/>
          <w:lang w:val="en-US" w:eastAsia="zh-CN" w:bidi="ar"/>
        </w:rPr>
        <w:fldChar w:fldCharType="end"/>
      </w:r>
      <w:r>
        <w:rPr>
          <w:rFonts w:hint="eastAsia" w:ascii="黑体" w:hAnsi="宋体" w:eastAsia="黑体" w:cs="Times New Roman"/>
          <w:kern w:val="0"/>
          <w:sz w:val="32"/>
          <w:szCs w:val="32"/>
          <w:shd w:val="clear" w:fill="FFFFFF"/>
          <w:lang w:val="en-US" w:eastAsia="zh-CN" w:bidi="ar"/>
        </w:rPr>
        <w:fldChar w:fldCharType="begin"/>
      </w:r>
      <w:r>
        <w:rPr>
          <w:rFonts w:hint="eastAsia" w:ascii="黑体" w:hAnsi="宋体" w:eastAsia="黑体" w:cs="Times New Roman"/>
          <w:kern w:val="0"/>
          <w:sz w:val="32"/>
          <w:szCs w:val="32"/>
          <w:shd w:val="clear" w:fill="FFFFFF"/>
          <w:lang w:val="en-US" w:eastAsia="zh-CN" w:bidi="ar"/>
        </w:rPr>
        <w:instrText xml:space="preserve"> HYPERLINK "http://www.xjzp.gov.cn/html/bmjsjjk/2018-9-13/1891314127414785.html" \o "分享到网易微博" </w:instrText>
      </w:r>
      <w:r>
        <w:rPr>
          <w:rFonts w:hint="eastAsia" w:ascii="黑体" w:hAnsi="宋体" w:eastAsia="黑体" w:cs="Times New Roman"/>
          <w:kern w:val="0"/>
          <w:sz w:val="32"/>
          <w:szCs w:val="32"/>
          <w:shd w:val="clear" w:fill="FFFFFF"/>
          <w:lang w:val="en-US" w:eastAsia="zh-CN" w:bidi="ar"/>
        </w:rPr>
        <w:fldChar w:fldCharType="separate"/>
      </w:r>
      <w:r>
        <w:rPr>
          <w:rFonts w:hint="eastAsia" w:ascii="黑体" w:hAnsi="宋体" w:eastAsia="黑体" w:cs="Times New Roman"/>
          <w:kern w:val="0"/>
          <w:sz w:val="32"/>
          <w:szCs w:val="32"/>
          <w:shd w:val="clear" w:fill="FFFFFF"/>
          <w:lang w:val="en-US" w:eastAsia="zh-CN" w:bidi="ar"/>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0000000000000000000"/>
    <w:charset w:val="00"/>
    <w:family w:val="auto"/>
    <w:pitch w:val="default"/>
    <w:sig w:usb0="00000000" w:usb1="00000000" w:usb2="00000000" w:usb3="00000000" w:csb0="00000000" w:csb1="00000000"/>
  </w:font>
  <w:font w:name="华文中宋">
    <w:altName w:val="宋体"/>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E0634D"/>
    <w:rsid w:val="23F91D01"/>
    <w:rsid w:val="3AE0634D"/>
    <w:rsid w:val="3D3C62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000000"/>
      <w:u w:val="none"/>
    </w:rPr>
  </w:style>
  <w:style w:type="character" w:styleId="5">
    <w:name w:val="Hyperlink"/>
    <w:basedOn w:val="3"/>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2018-12-22T13:42:00Z</dcterms:created>
  <dc:creator>Administrator</dc:creator>
  <cp:lastModifiedBy>Administrator</cp:lastModifiedBy>
  <dcterms:modified xsi:type="dcterms:W3CDTF">2018-12-26T14:29:14Z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