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rPr>
          <w:color w:val="auto"/>
          <w:highlight w:val="none"/>
        </w:rPr>
      </w:pPr>
      <w:r>
        <w:rPr>
          <w:rFonts w:ascii="方正小标宋_GBK" w:hAnsi="宋体" w:eastAsia="方正小标宋_GBK" w:cs="Times New Roman"/>
          <w:color w:val="auto"/>
          <w:kern w:val="0"/>
          <w:sz w:val="44"/>
          <w:szCs w:val="44"/>
          <w:highlight w:val="none"/>
          <w:shd w:val="clear" w:fill="FFFFFF"/>
          <w:lang w:val="en-US" w:eastAsia="zh-CN" w:bidi="ar"/>
        </w:rPr>
        <w:t>2017年度泽普县住房和城乡建设局部门</w:t>
      </w:r>
      <w:r>
        <w:rPr>
          <w:rFonts w:hint="eastAsia" w:ascii="方正小标宋_GBK" w:hAnsi="宋体" w:eastAsia="方正小标宋_GBK" w:cs="Times New Roman"/>
          <w:color w:val="auto"/>
          <w:kern w:val="0"/>
          <w:sz w:val="44"/>
          <w:szCs w:val="44"/>
          <w:highlight w:val="none"/>
          <w:shd w:val="clear" w:fill="FFFFFF"/>
          <w:lang w:val="en-US" w:eastAsia="zh-CN" w:bidi="ar"/>
        </w:rPr>
        <w:t xml:space="preserve"> </w:t>
      </w:r>
      <w:r>
        <w:rPr>
          <w:rFonts w:ascii="方正小标宋_GBK" w:hAnsi="宋体" w:eastAsia="方正小标宋_GBK" w:cs="Times New Roman"/>
          <w:color w:val="auto"/>
          <w:kern w:val="0"/>
          <w:sz w:val="44"/>
          <w:szCs w:val="44"/>
          <w:highlight w:val="none"/>
          <w:shd w:val="clear" w:fill="FFFFFF"/>
          <w:lang w:val="en-US" w:eastAsia="zh-CN" w:bidi="ar"/>
        </w:rPr>
        <w:t>决算</w:t>
      </w:r>
      <w:r>
        <w:rPr>
          <w:rFonts w:hint="default" w:ascii="方正小标宋_GBK" w:hAnsi="宋体" w:eastAsia="方正小标宋_GBK" w:cs="Times New Roman"/>
          <w:color w:val="auto"/>
          <w:kern w:val="0"/>
          <w:sz w:val="44"/>
          <w:szCs w:val="44"/>
          <w:highlight w:val="none"/>
          <w:shd w:val="clear" w:fill="FFFFFF"/>
          <w:lang w:val="en-US" w:eastAsia="zh-CN" w:bidi="ar"/>
        </w:rPr>
        <w:t>公开说明</w:t>
      </w:r>
    </w:p>
    <w:p>
      <w:pPr>
        <w:keepNext w:val="0"/>
        <w:keepLines w:val="0"/>
        <w:widowControl/>
        <w:suppressLineNumbers w:val="0"/>
        <w:spacing w:before="0" w:beforeAutospacing="0" w:after="0" w:afterAutospacing="0" w:line="580" w:lineRule="exact"/>
        <w:ind w:left="0" w:right="0"/>
        <w:jc w:val="center"/>
        <w:rPr>
          <w:color w:val="auto"/>
          <w:highlight w:val="none"/>
        </w:rPr>
      </w:pPr>
      <w:r>
        <w:rPr>
          <w:rFonts w:hint="default" w:ascii="Times New Roman" w:hAnsi="Times New Roman" w:eastAsia="方正小标宋_GBK" w:cs="Times New Roman"/>
          <w:color w:val="auto"/>
          <w:kern w:val="0"/>
          <w:sz w:val="44"/>
          <w:szCs w:val="44"/>
          <w:highlight w:val="none"/>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rPr>
          <w:color w:val="auto"/>
          <w:highlight w:val="none"/>
        </w:rPr>
      </w:pPr>
      <w:r>
        <w:rPr>
          <w:rFonts w:ascii="华文中宋" w:hAnsi="华文中宋" w:eastAsia="华文中宋" w:cs="Times New Roman"/>
          <w:b/>
          <w:color w:val="auto"/>
          <w:kern w:val="0"/>
          <w:sz w:val="32"/>
          <w:szCs w:val="32"/>
          <w:highlight w:val="none"/>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黑体" w:hAnsi="宋体" w:eastAsia="黑体" w:cs="黑体"/>
          <w:color w:val="auto"/>
          <w:kern w:val="0"/>
          <w:sz w:val="32"/>
          <w:szCs w:val="32"/>
          <w:highlight w:val="none"/>
          <w:shd w:val="clear" w:fill="FFFFFF"/>
          <w:lang w:val="en-US" w:eastAsia="zh-CN" w:bidi="ar"/>
        </w:rPr>
        <w:t>第一部分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泽普县住房和城乡建设局部门单位概况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仿宋_GB2312" w:hAnsi="宋体" w:eastAsia="仿宋_GB2312" w:cs="仿宋_GB2312"/>
          <w:color w:val="auto"/>
          <w:kern w:val="0"/>
          <w:sz w:val="32"/>
          <w:szCs w:val="32"/>
          <w:highlight w:val="none"/>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宋体" w:eastAsia="仿宋_GB2312" w:cs="仿宋_GB2312"/>
          <w:color w:val="auto"/>
          <w:kern w:val="0"/>
          <w:sz w:val="32"/>
          <w:szCs w:val="32"/>
          <w:highlight w:val="none"/>
          <w:shd w:val="clear" w:fill="FFFFFF"/>
          <w:lang w:val="en-US" w:eastAsia="zh-CN" w:bidi="ar"/>
        </w:rPr>
        <w:t>二、</w:t>
      </w:r>
      <w:r>
        <w:rPr>
          <w:rFonts w:hint="eastAsia" w:ascii="仿宋_GB2312" w:hAnsi="Times New Roman" w:eastAsia="仿宋_GB2312" w:cs="仿宋_GB2312"/>
          <w:color w:val="auto"/>
          <w:kern w:val="0"/>
          <w:sz w:val="32"/>
          <w:szCs w:val="32"/>
          <w:highlight w:val="none"/>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第二部分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第三部分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第四部分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二、部门收支总体情况（</w:t>
      </w:r>
      <w:r>
        <w:rPr>
          <w:rFonts w:hint="eastAsia" w:ascii="仿宋_GB2312" w:hAnsi="Times New Roman" w:eastAsia="仿宋_GB2312" w:cs="Times New Roman"/>
          <w:color w:val="auto"/>
          <w:kern w:val="0"/>
          <w:sz w:val="32"/>
          <w:szCs w:val="32"/>
          <w:highlight w:val="none"/>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三、财政拨款收支情况（</w:t>
      </w:r>
      <w:r>
        <w:rPr>
          <w:rFonts w:hint="eastAsia" w:ascii="仿宋_GB2312" w:hAnsi="Times New Roman" w:eastAsia="仿宋_GB2312" w:cs="Times New Roman"/>
          <w:color w:val="auto"/>
          <w:kern w:val="0"/>
          <w:sz w:val="32"/>
          <w:szCs w:val="32"/>
          <w:highlight w:val="none"/>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四、单位资产负责情况（</w:t>
      </w:r>
      <w:r>
        <w:rPr>
          <w:rFonts w:hint="eastAsia" w:ascii="仿宋_GB2312" w:hAnsi="Times New Roman" w:eastAsia="仿宋_GB2312" w:cs="Times New Roman"/>
          <w:color w:val="auto"/>
          <w:kern w:val="0"/>
          <w:sz w:val="32"/>
          <w:szCs w:val="32"/>
          <w:highlight w:val="none"/>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五、部门决算附表（</w:t>
      </w:r>
      <w:r>
        <w:rPr>
          <w:rFonts w:hint="eastAsia" w:ascii="仿宋_GB2312" w:hAnsi="Times New Roman" w:eastAsia="仿宋_GB2312" w:cs="Times New Roman"/>
          <w:color w:val="auto"/>
          <w:kern w:val="0"/>
          <w:sz w:val="32"/>
          <w:szCs w:val="32"/>
          <w:highlight w:val="none"/>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六、填报说明附表（</w:t>
      </w:r>
      <w:r>
        <w:rPr>
          <w:rFonts w:hint="eastAsia" w:ascii="仿宋_GB2312" w:hAnsi="Times New Roman" w:eastAsia="仿宋_GB2312" w:cs="Times New Roman"/>
          <w:color w:val="auto"/>
          <w:kern w:val="0"/>
          <w:sz w:val="32"/>
          <w:szCs w:val="32"/>
          <w:highlight w:val="none"/>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rPr>
          <w:color w:val="auto"/>
          <w:highlight w:val="none"/>
        </w:rPr>
      </w:pPr>
      <w:r>
        <w:rPr>
          <w:rFonts w:hint="eastAsia" w:ascii="黑体" w:hAnsi="宋体" w:eastAsia="黑体" w:cs="Times New Roman"/>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第一部分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部门单位概况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一、部门单位基本情况，包括：部门主要职能和机构设置情况、年末编制情况、实有人数情况等（</w:t>
      </w:r>
      <w:r>
        <w:rPr>
          <w:rFonts w:hint="eastAsia" w:ascii="仿宋_GB2312" w:hAnsi="Times New Roman" w:eastAsia="仿宋_GB2312" w:cs="Times New Roman"/>
          <w:color w:val="auto"/>
          <w:kern w:val="0"/>
          <w:sz w:val="32"/>
          <w:szCs w:val="32"/>
          <w:highlight w:val="none"/>
          <w:shd w:val="clear" w:fill="FFFFFF"/>
          <w:lang w:val="en-US" w:eastAsia="zh-CN" w:bidi="ar"/>
        </w:rPr>
        <w:t>F03、O4表）。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从决算单位构成看，泽普县住房和城乡建设局部门决算包括：泽普县住房和城乡建设局部门本级决算、所属单位决算等。</w:t>
      </w:r>
    </w:p>
    <w:p>
      <w:pPr>
        <w:keepNext w:val="0"/>
        <w:keepLines w:val="0"/>
        <w:widowControl/>
        <w:suppressLineNumbers w:val="0"/>
        <w:spacing w:before="0" w:beforeAutospacing="0" w:after="0" w:afterAutospacing="0" w:line="500" w:lineRule="exact"/>
        <w:ind w:left="0" w:right="0" w:firstLine="616" w:firstLineChars="200"/>
        <w:jc w:val="left"/>
        <w:rPr>
          <w:color w:val="auto"/>
          <w:highlight w:val="none"/>
        </w:rPr>
      </w:pPr>
      <w:r>
        <w:rPr>
          <w:rFonts w:hint="eastAsia" w:ascii="仿宋_GB2312" w:hAnsi="Times New Roman" w:eastAsia="仿宋_GB2312" w:cs="仿宋_GB2312"/>
          <w:color w:val="auto"/>
          <w:spacing w:val="-6"/>
          <w:kern w:val="0"/>
          <w:sz w:val="32"/>
          <w:szCs w:val="32"/>
          <w:highlight w:val="none"/>
          <w:shd w:val="clear" w:fill="FFFFFF"/>
          <w:lang w:val="en-US" w:eastAsia="zh-CN" w:bidi="ar"/>
        </w:rPr>
        <w:t>纳入</w:t>
      </w:r>
      <w:r>
        <w:rPr>
          <w:rFonts w:hint="eastAsia" w:ascii="仿宋_GB2312" w:hAnsi="Times New Roman" w:eastAsia="仿宋_GB2312" w:cs="仿宋_GB2312"/>
          <w:color w:val="auto"/>
          <w:kern w:val="0"/>
          <w:sz w:val="32"/>
          <w:szCs w:val="32"/>
          <w:highlight w:val="none"/>
          <w:shd w:val="clear" w:fill="FFFFFF"/>
          <w:lang w:val="en-US" w:eastAsia="zh-CN" w:bidi="ar"/>
        </w:rPr>
        <w:t>泽普县住房和城乡建设局</w:t>
      </w:r>
      <w:r>
        <w:rPr>
          <w:rFonts w:hint="eastAsia" w:ascii="仿宋_GB2312" w:hAnsi="Times New Roman" w:eastAsia="仿宋_GB2312" w:cs="Times New Roman"/>
          <w:color w:val="auto"/>
          <w:spacing w:val="-6"/>
          <w:kern w:val="0"/>
          <w:sz w:val="32"/>
          <w:szCs w:val="32"/>
          <w:highlight w:val="none"/>
          <w:shd w:val="clear" w:fill="FFFFFF"/>
          <w:lang w:val="en-US" w:eastAsia="zh-CN" w:bidi="ar"/>
        </w:rPr>
        <w:t>2017</w:t>
      </w:r>
      <w:r>
        <w:rPr>
          <w:rFonts w:hint="eastAsia" w:ascii="仿宋_GB2312" w:hAnsi="Times New Roman" w:eastAsia="仿宋_GB2312" w:cs="仿宋_GB2312"/>
          <w:color w:val="auto"/>
          <w:spacing w:val="-6"/>
          <w:kern w:val="0"/>
          <w:sz w:val="32"/>
          <w:szCs w:val="32"/>
          <w:highlight w:val="none"/>
          <w:shd w:val="clear" w:fill="FFFFFF"/>
          <w:lang w:val="en-US" w:eastAsia="zh-CN" w:bidi="ar"/>
        </w:rPr>
        <w:t>年部门决算编制范围的单位名单见下表：</w:t>
      </w:r>
    </w:p>
    <w:p>
      <w:pPr>
        <w:keepNext w:val="0"/>
        <w:keepLines w:val="0"/>
        <w:widowControl/>
        <w:suppressLineNumbers w:val="0"/>
        <w:spacing w:before="0" w:beforeAutospacing="0" w:after="0" w:afterAutospacing="0" w:line="500" w:lineRule="exact"/>
        <w:ind w:left="0" w:right="0" w:firstLine="616" w:firstLineChars="200"/>
        <w:jc w:val="left"/>
        <w:rPr>
          <w:color w:val="auto"/>
          <w:highlight w:val="none"/>
        </w:rPr>
      </w:pPr>
      <w:r>
        <w:rPr>
          <w:rFonts w:hint="eastAsia" w:ascii="仿宋_GB2312" w:hAnsi="Times New Roman" w:eastAsia="仿宋_GB2312" w:cs="Times New Roman"/>
          <w:color w:val="auto"/>
          <w:spacing w:val="-6"/>
          <w:kern w:val="0"/>
          <w:sz w:val="32"/>
          <w:szCs w:val="32"/>
          <w:highlight w:val="none"/>
          <w:shd w:val="clear" w:fill="FFFFFF"/>
          <w:lang w:val="en-US" w:eastAsia="zh-CN" w:bidi="ar"/>
        </w:rPr>
        <w:t xml:space="preserve"> </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38"/>
        <w:gridCol w:w="460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序号</w:t>
            </w:r>
          </w:p>
        </w:tc>
        <w:tc>
          <w:tcPr>
            <w:tcW w:w="460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1</w:t>
            </w:r>
          </w:p>
        </w:tc>
        <w:tc>
          <w:tcPr>
            <w:tcW w:w="460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泽普县住房和城乡建设局本级</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2</w:t>
            </w:r>
          </w:p>
        </w:tc>
        <w:tc>
          <w:tcPr>
            <w:tcW w:w="460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w:t>
            </w:r>
          </w:p>
        </w:tc>
        <w:tc>
          <w:tcPr>
            <w:tcW w:w="460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16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460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bl>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Times New Roman" w:eastAsia="仿宋_GB2312" w:cs="Times New Roman"/>
          <w:b/>
          <w:color w:val="auto"/>
          <w:kern w:val="0"/>
          <w:sz w:val="32"/>
          <w:szCs w:val="32"/>
          <w:highlight w:val="none"/>
          <w:shd w:val="clear" w:fill="FFFFFF"/>
          <w:lang w:val="en-US" w:eastAsia="zh-CN" w:bidi="ar"/>
        </w:rPr>
        <w:t xml:space="preserve"> </w:t>
      </w:r>
    </w:p>
    <w:p>
      <w:pPr>
        <w:keepNext w:val="0"/>
        <w:keepLines w:val="0"/>
        <w:widowControl/>
        <w:numPr>
          <w:ilvl w:val="0"/>
          <w:numId w:val="0"/>
        </w:numPr>
        <w:suppressLineNumbers w:val="0"/>
        <w:spacing w:before="0" w:beforeAutospacing="0" w:after="0" w:afterAutospacing="0" w:line="500" w:lineRule="exact"/>
        <w:ind w:left="0" w:right="0" w:firstLine="627"/>
        <w:jc w:val="center"/>
        <w:rPr>
          <w:color w:val="auto"/>
          <w:highlight w:val="none"/>
        </w:rPr>
      </w:pPr>
      <w:r>
        <w:rPr>
          <w:rFonts w:ascii="仿宋" w:hAnsi="仿宋" w:eastAsia="仿宋" w:cs="仿宋"/>
          <w:color w:val="auto"/>
          <w:kern w:val="0"/>
          <w:sz w:val="32"/>
          <w:szCs w:val="32"/>
          <w:highlight w:val="none"/>
          <w:shd w:val="clear" w:fill="FFFFFF"/>
          <w:lang w:val="en-US" w:eastAsia="zh-CN" w:bidi="ar"/>
        </w:rPr>
        <w:t>第一部分</w:t>
      </w:r>
      <w:r>
        <w:rPr>
          <w:rFonts w:hint="eastAsia" w:ascii="仿宋" w:hAnsi="仿宋" w:eastAsia="仿宋" w:cs="仿宋"/>
          <w:color w:val="auto"/>
          <w:kern w:val="0"/>
          <w:sz w:val="32"/>
          <w:szCs w:val="32"/>
          <w:highlight w:val="none"/>
          <w:shd w:val="clear" w:fill="FFFFFF"/>
          <w:lang w:val="en-US" w:eastAsia="zh-CN" w:bidi="ar"/>
        </w:rPr>
        <w:t> 部门单位概况</w:t>
      </w:r>
    </w:p>
    <w:p>
      <w:pPr>
        <w:keepNext w:val="0"/>
        <w:keepLines w:val="0"/>
        <w:widowControl/>
        <w:suppressLineNumbers w:val="0"/>
        <w:spacing w:before="0" w:beforeAutospacing="0" w:after="0" w:afterAutospacing="0" w:line="500" w:lineRule="exact"/>
        <w:ind w:left="0" w:right="0"/>
        <w:jc w:val="both"/>
        <w:rPr>
          <w:color w:val="auto"/>
          <w:highlight w:val="none"/>
        </w:rPr>
      </w:pPr>
      <w:r>
        <w:rPr>
          <w:rFonts w:hint="eastAsia" w:ascii="仿宋" w:hAnsi="仿宋" w:eastAsia="仿宋" w:cs="仿宋"/>
          <w:color w:val="auto"/>
          <w:kern w:val="0"/>
          <w:sz w:val="32"/>
          <w:szCs w:val="32"/>
          <w:highlight w:val="none"/>
          <w:shd w:val="clear" w:fill="FFFFFF"/>
          <w:lang w:val="en-US" w:eastAsia="zh-CN" w:bidi="ar"/>
        </w:rPr>
        <w:t xml:space="preserve"> </w:t>
      </w:r>
    </w:p>
    <w:p>
      <w:pPr>
        <w:keepNext w:val="0"/>
        <w:keepLines w:val="0"/>
        <w:widowControl w:val="0"/>
        <w:suppressLineNumbers w:val="0"/>
        <w:spacing w:before="0" w:beforeAutospacing="0" w:after="0" w:afterAutospacing="0" w:line="500" w:lineRule="exact"/>
        <w:ind w:left="0" w:right="0" w:firstLine="640" w:firstLineChars="200"/>
        <w:jc w:val="both"/>
        <w:rPr>
          <w:color w:val="auto"/>
          <w:highlight w:val="none"/>
        </w:rPr>
      </w:pPr>
      <w:r>
        <w:rPr>
          <w:rFonts w:hint="eastAsia" w:ascii="仿宋" w:hAnsi="仿宋" w:eastAsia="仿宋" w:cs="仿宋"/>
          <w:color w:val="auto"/>
          <w:kern w:val="0"/>
          <w:sz w:val="32"/>
          <w:szCs w:val="32"/>
          <w:highlight w:val="none"/>
          <w:shd w:val="clear" w:fill="FFFFFF"/>
          <w:lang w:val="en-US" w:eastAsia="zh-CN" w:bidi="ar"/>
        </w:rPr>
        <w:t>泽普县住房和城乡建设局，属县人民政府职能部门，正科级建制。执行会计制度为行政会计制度。独立核算机构为1个。</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主要职能：</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1、宣传、贯彻执行国家和自治区、地区有关城乡规划、建</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设、市政公用事业、房地产业等方针政策和法律法规,研究起草</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我县住房和城乡建设行业规范性文件。研究拟订我县城市建设</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工程建设、村镇建设、房地产业、市政公用事业、园林绿化的发</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展战略、中长期规划、实施办法并组织指导实施</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2、负责建立和完善全县住房保障体系。负责编制堿镇低收入</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家庭住房保障的发展规划、年度计划和工作目标;会同有关部门</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做好全县有关廉租住房资金安排和组织实施,组织拟订低收入家</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庭住房保障的</w:t>
      </w:r>
      <w:bookmarkStart w:id="0" w:name="_GoBack"/>
      <w:bookmarkEnd w:id="0"/>
      <w:r>
        <w:rPr>
          <w:rFonts w:hint="eastAsia" w:ascii="仿宋" w:hAnsi="仿宋" w:eastAsia="仿宋" w:cs="仿宋"/>
          <w:color w:val="auto"/>
          <w:kern w:val="0"/>
          <w:sz w:val="32"/>
          <w:szCs w:val="32"/>
          <w:highlight w:val="none"/>
          <w:shd w:val="clear" w:fill="FFFFFF"/>
        </w:rPr>
        <w:t>政策措施并组织实施;负责县城区经济适用房、廉</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租住房、拆迁安置房以及公共租赁住房等其他政策性住房的建设</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和管理;承担推进全县住房制度改革的责任,负责全县公有住房</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出售、房改房上市交易、职工购房补贴等房改工作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3.负贵全县房地产市场监督管理,规范房地产市场秩序。组</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织编制全县住房建设规划和年度计划;负责全县房地产市场的动</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监测工作,会同或配合有关部门组织拟订房地产发展规划和市场监管政策并监督执行。</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4、负责全县房地产开发企业的资质管理;负责商品房销售</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房产交易、房屋租赁、房屋面积管理及房地产中介机构的监督管</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理和业务指导;负责房屋产权产籍管理、国有土地上房屋征收与</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补偿管理、房屋安全管理、住宅室内装饰装修活动的管理;负责</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全县住房保障和房产管理的统计、分析和信息化建设</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参与国家和自治区在本县实施的重点工程建设项目的</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项、论证、概算、审查等工作;负责本县重点工程建设项目的初</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步设计、施工管理等工作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6、指导全县建筑活动,规范建筑市场,指导、监督建筑市场</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准入;负责各类房屋建筑及附属设施的建造和与其配套的线路」</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管道、设备的安装项目、市政工程项目招投标活动的监督;监督</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建设工程监理,承担建筑工程质量和施工安全的监管责任,负责</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组织或参与工程重大质量和安全事故的调查处理;拟订勘察设</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计、施工、建设监理和相关社会中介组织管理制度并监督执行</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负责所辖区域建设工程施工许可证的审批、发证;负责全县工程</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勘察设计单位、建筑企业、建筑装修装饰企业、建设工程监理单</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位、工程招投标代理咨询、工程造价咨询和工程质量检验测试单</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位的资质审查和报批;监督指导各类工程建设标准定额的实施</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指导全县城市建设管理工作和小城镇综合改革试点工作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负责全县城镇供水、节水、排水(排涝)、燃气、热力、市政设</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施、污水处理、市容环卫、园林绿化等行业管理;参与土地利用</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规划和城市环境保护规划的审查。</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8、负责本县建设科技管理工作,制订本县建设系统科技发展</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规划,指导建筑新技术、新产品开发及其推广应用和技术改造工</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作;负责建筑节能、建筑安装工程劳动保险的管理工作;负责区</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组域内发展新型墙体材料的监督管理。</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9、负责全县富民安居工程的综合协调、组织实施、档案建</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立、任务完成情况的检查验收及日常工作。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10、制订全县建设系统人才培养规划;指导和管理建设系统</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职工队伍的培训和继续教育</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11、管理局机关和直属单位的人事、劳资、机构编制工作;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负责建设系统的专业职称、执业资格和职业技能鉴定工作;负责</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城建档案管理工作</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12、承办县委、县人民政府和上级业务部门交办的其他事</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项。</w:t>
      </w:r>
    </w:p>
    <w:p>
      <w:pPr>
        <w:pStyle w:val="3"/>
        <w:keepNext w:val="0"/>
        <w:keepLines w:val="0"/>
        <w:widowControl w:val="0"/>
        <w:suppressLineNumbers w:val="0"/>
        <w:spacing w:before="0" w:beforeLines="0" w:beforeAutospacing="0" w:after="0" w:afterLines="0" w:afterAutospacing="0" w:line="520" w:lineRule="exact"/>
        <w:ind w:left="0" w:right="0" w:rightChars="0"/>
        <w:textAlignment w:val="bottom"/>
        <w:rPr>
          <w:color w:val="auto"/>
          <w:highlight w:val="none"/>
        </w:rPr>
      </w:pPr>
      <w:r>
        <w:rPr>
          <w:rFonts w:hint="eastAsia" w:ascii="仿宋" w:hAnsi="仿宋" w:eastAsia="仿宋" w:cs="仿宋"/>
          <w:color w:val="auto"/>
          <w:kern w:val="0"/>
          <w:sz w:val="32"/>
          <w:szCs w:val="32"/>
          <w:highlight w:val="none"/>
          <w:shd w:val="clear" w:fill="FFFFFF"/>
        </w:rPr>
        <w:t>二、内设机构</w:t>
      </w:r>
    </w:p>
    <w:p>
      <w:pPr>
        <w:pStyle w:val="3"/>
        <w:keepNext w:val="0"/>
        <w:keepLines w:val="0"/>
        <w:widowControl w:val="0"/>
        <w:suppressLineNumbers w:val="0"/>
        <w:spacing w:before="0" w:beforeLines="0" w:beforeAutospacing="0" w:after="0" w:afterLines="0" w:afterAutospacing="0" w:line="520" w:lineRule="exact"/>
        <w:ind w:left="0" w:right="0" w:rightChars="0"/>
        <w:textAlignment w:val="bottom"/>
        <w:rPr>
          <w:color w:val="auto"/>
          <w:highlight w:val="none"/>
        </w:rPr>
      </w:pPr>
      <w:r>
        <w:rPr>
          <w:rFonts w:hint="eastAsia" w:ascii="仿宋" w:hAnsi="仿宋" w:eastAsia="仿宋" w:cs="仿宋"/>
          <w:b/>
          <w:color w:val="auto"/>
          <w:kern w:val="0"/>
          <w:sz w:val="32"/>
          <w:szCs w:val="32"/>
          <w:highlight w:val="none"/>
          <w:shd w:val="clear" w:fill="FFFFFF"/>
        </w:rPr>
        <w:t>（一）综合办公室</w:t>
      </w:r>
    </w:p>
    <w:p>
      <w:pPr>
        <w:keepNext w:val="0"/>
        <w:keepLines w:val="0"/>
        <w:widowControl w:val="0"/>
        <w:suppressLineNumbers w:val="0"/>
        <w:spacing w:before="0" w:beforeLines="0" w:beforeAutospacing="0" w:after="0" w:afterLines="0" w:afterAutospacing="0" w:line="520" w:lineRule="exact"/>
        <w:ind w:left="0" w:right="0" w:rightChars="0" w:firstLine="639" w:firstLineChars="0"/>
        <w:jc w:val="left"/>
        <w:textAlignment w:val="bottom"/>
        <w:rPr>
          <w:color w:val="auto"/>
          <w:highlight w:val="none"/>
        </w:rPr>
      </w:pPr>
      <w:r>
        <w:rPr>
          <w:rFonts w:hint="eastAsia" w:ascii="仿宋" w:hAnsi="仿宋" w:eastAsia="仿宋" w:cs="仿宋"/>
          <w:color w:val="auto"/>
          <w:kern w:val="0"/>
          <w:sz w:val="32"/>
          <w:szCs w:val="32"/>
          <w:highlight w:val="none"/>
          <w:shd w:val="clear" w:fill="FFFFFF"/>
          <w:lang w:val="en-US" w:eastAsia="zh-CN" w:bidi="ar"/>
        </w:rPr>
        <w:t>承办局政务工作的组织协调、文书处理和对外联络、新闻宣传工作；负责会议的组织、协调和局机关的文秘、文书档案、信息、督办等工作；负责局机关的后勤、保卫、保密工作；负责建设系统的党风廉政建设和反腐败工作；负责做好来信来访和信访件的办理工作；负责做好投诉工作及投诉件的办理工作；负责抓好综治维稳和纠纷协调工作；负责建设系统的普法教育工作；负责行政复议和诉讼工作；负责组织对规划、建设、管理监督检查；负责人大代表建议、意见、政协委员提案的办理。</w:t>
      </w:r>
    </w:p>
    <w:p>
      <w:pPr>
        <w:keepNext w:val="0"/>
        <w:keepLines w:val="0"/>
        <w:widowControl w:val="0"/>
        <w:suppressLineNumbers w:val="0"/>
        <w:spacing w:before="0" w:beforeLines="0" w:beforeAutospacing="0" w:after="0" w:afterLines="0" w:afterAutospacing="0" w:line="520" w:lineRule="exact"/>
        <w:ind w:left="0" w:right="0" w:rightChars="0" w:firstLine="639" w:firstLineChars="0"/>
        <w:jc w:val="left"/>
        <w:textAlignment w:val="bottom"/>
        <w:rPr>
          <w:color w:val="auto"/>
          <w:highlight w:val="none"/>
        </w:rPr>
      </w:pPr>
      <w:r>
        <w:rPr>
          <w:rFonts w:hint="eastAsia" w:ascii="仿宋" w:hAnsi="仿宋" w:eastAsia="仿宋" w:cs="仿宋"/>
          <w:color w:val="auto"/>
          <w:kern w:val="0"/>
          <w:sz w:val="32"/>
          <w:szCs w:val="32"/>
          <w:highlight w:val="none"/>
          <w:shd w:val="clear" w:fill="FFFFFF"/>
          <w:lang w:val="en-US" w:eastAsia="zh-CN" w:bidi="ar"/>
        </w:rPr>
        <w:t>负责局机关及下属事业单位人事、劳资、机构编制管理及职称申报工作；负责汇总建筑业、房地产、市政公用事业和城乡维护建设工程的有关财务决算；负责局机关、事业单位的行政事业性收费和其他收费管理的申报工作，负责局机关的财务管理、财务指导、监督；负责对局资金的安排使用、业务收入支出和固定资产等情况进行审计；负责做好国有资产的管理，对国有资产的购置、入库进行监督、登记；综合管理各专项资金的分配；负责房改售房款、集资房款及公共维修基金的收支监管，综合管理行业统计工作；负责报送各类财务报表；协助配合财政、审计、税务、物价等部门对局机关的各项工作进行检查。</w:t>
      </w:r>
    </w:p>
    <w:p>
      <w:pPr>
        <w:pStyle w:val="3"/>
        <w:keepNext w:val="0"/>
        <w:keepLines w:val="0"/>
        <w:widowControl w:val="0"/>
        <w:suppressLineNumbers w:val="0"/>
        <w:spacing w:before="0" w:beforeLines="0" w:beforeAutospacing="0" w:after="0" w:afterLines="0" w:afterAutospacing="0" w:line="520" w:lineRule="exact"/>
        <w:ind w:left="0" w:right="0" w:rightChars="0"/>
        <w:textAlignment w:val="bottom"/>
        <w:rPr>
          <w:color w:val="auto"/>
          <w:highlight w:val="none"/>
        </w:rPr>
      </w:pPr>
      <w:r>
        <w:rPr>
          <w:rFonts w:hint="eastAsia" w:ascii="仿宋" w:hAnsi="仿宋" w:eastAsia="仿宋" w:cs="仿宋"/>
          <w:b/>
          <w:color w:val="auto"/>
          <w:kern w:val="0"/>
          <w:sz w:val="32"/>
          <w:szCs w:val="32"/>
          <w:highlight w:val="none"/>
          <w:shd w:val="clear" w:fill="FFFFFF"/>
        </w:rPr>
        <w:t>（二）泽普县住房和城乡建设局奎依巴格分局</w:t>
      </w:r>
    </w:p>
    <w:p>
      <w:pPr>
        <w:keepNext w:val="0"/>
        <w:keepLines w:val="0"/>
        <w:widowControl w:val="0"/>
        <w:suppressLineNumbers w:val="0"/>
        <w:spacing w:before="0" w:beforeLines="0" w:beforeAutospacing="0" w:after="0" w:afterLines="0" w:afterAutospacing="0" w:line="520" w:lineRule="exact"/>
        <w:ind w:left="0" w:right="0" w:rightChars="0" w:firstLine="639" w:firstLineChars="0"/>
        <w:jc w:val="left"/>
        <w:textAlignment w:val="bottom"/>
        <w:rPr>
          <w:color w:val="auto"/>
          <w:highlight w:val="none"/>
        </w:rPr>
      </w:pPr>
      <w:r>
        <w:rPr>
          <w:rFonts w:hint="eastAsia" w:ascii="仿宋" w:hAnsi="仿宋" w:eastAsia="仿宋" w:cs="仿宋"/>
          <w:color w:val="auto"/>
          <w:kern w:val="0"/>
          <w:sz w:val="32"/>
          <w:szCs w:val="32"/>
          <w:highlight w:val="none"/>
          <w:shd w:val="clear" w:fill="FFFFFF"/>
          <w:lang w:val="en-US" w:eastAsia="zh-CN" w:bidi="ar"/>
        </w:rPr>
        <w:t>奎依巴格分局是泽普县住房和城乡建设局单列设置机构，相当于副科级单位，隶属于县住房和城乡建设局管理，承办县住房和城乡建设局安排的各项业务及事项，业务上对本辖区四个乡、三个场、一个镇（即阿克塔木乡、奎依巴格乡、图呼其乡、布依鲁克乡、农场、园艺场、林场、奎依巴格镇）行使同县住房和城乡建设局相同的职责和职能。</w:t>
      </w:r>
    </w:p>
    <w:p>
      <w:pPr>
        <w:keepNext w:val="0"/>
        <w:keepLines w:val="0"/>
        <w:widowControl w:val="0"/>
        <w:numPr>
          <w:ilvl w:val="0"/>
          <w:numId w:val="0"/>
        </w:numPr>
        <w:suppressLineNumbers w:val="0"/>
        <w:spacing w:before="0" w:beforeLines="0" w:beforeAutospacing="0" w:after="0" w:afterLines="0" w:afterAutospacing="0" w:line="520" w:lineRule="exact"/>
        <w:ind w:left="0" w:leftChars="0" w:right="0" w:rightChars="0" w:firstLine="640" w:firstLineChars="200"/>
        <w:jc w:val="left"/>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（三）房地产管理办公室</w:t>
      </w:r>
    </w:p>
    <w:p>
      <w:pPr>
        <w:keepNext w:val="0"/>
        <w:keepLines w:val="0"/>
        <w:widowControl w:val="0"/>
        <w:suppressLineNumbers w:val="0"/>
        <w:spacing w:before="0" w:beforeLines="0" w:beforeAutospacing="0" w:after="0" w:afterLines="0" w:afterAutospacing="0" w:line="520" w:lineRule="exact"/>
        <w:ind w:left="0" w:right="0" w:rightChars="0"/>
        <w:jc w:val="both"/>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 xml:space="preserve">   贯彻落实国家、自治区、地区房地产发展战略、中长期规划和产业政策；指导全县住宅建设和房地产开发；指导城镇土地使用权有偿转让和开发利用工作；负责培育和规范房地产市场，指导房地产交易、租赁抵押等经营活动；负责房地产开发、中介服务等企业的资质审查；指导房地产产权、产籍管理、房屋拆迁和危房鉴定等工作。负责本县住房制度改革工作，贯彻执行《房地产管理法》及相关政策、法规；负责全县房地产开发经营、房屋商品化、房改产权档案管理、统计；负责全县保障性住房的建设、管理及分配。</w:t>
      </w:r>
    </w:p>
    <w:p>
      <w:pPr>
        <w:keepNext w:val="0"/>
        <w:keepLines w:val="0"/>
        <w:widowControl w:val="0"/>
        <w:numPr>
          <w:ilvl w:val="0"/>
          <w:numId w:val="0"/>
        </w:numPr>
        <w:suppressLineNumbers w:val="0"/>
        <w:spacing w:before="0" w:beforeLines="0" w:beforeAutospacing="0" w:after="0" w:afterLines="0" w:afterAutospacing="0" w:line="520" w:lineRule="exact"/>
        <w:ind w:left="0" w:leftChars="0" w:right="0" w:rightChars="0" w:firstLine="640" w:firstLineChars="200"/>
        <w:jc w:val="left"/>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（四）市政、园林绿化办公室</w:t>
      </w:r>
    </w:p>
    <w:p>
      <w:pPr>
        <w:keepNext w:val="0"/>
        <w:keepLines w:val="0"/>
        <w:widowControl w:val="0"/>
        <w:suppressLineNumbers w:val="0"/>
        <w:spacing w:before="0" w:beforeLines="0" w:beforeAutospacing="0" w:after="0" w:afterLines="0" w:afterAutospacing="0" w:line="520" w:lineRule="exact"/>
        <w:ind w:left="0" w:leftChars="0" w:right="0" w:rightChars="0"/>
        <w:jc w:val="left"/>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 xml:space="preserve">    负责制定本县关于城市卫生、市政基础设施建设管理有关规定、办法；管理县城卫生、道路绿化等市政基础设施；负责征收卫生费，保证市容市貌的干净整洁。</w:t>
      </w:r>
    </w:p>
    <w:p>
      <w:pPr>
        <w:keepNext w:val="0"/>
        <w:keepLines w:val="0"/>
        <w:widowControl w:val="0"/>
        <w:numPr>
          <w:ilvl w:val="0"/>
          <w:numId w:val="0"/>
        </w:numPr>
        <w:suppressLineNumbers w:val="0"/>
        <w:spacing w:before="0" w:beforeLines="0" w:beforeAutospacing="0" w:after="0" w:afterLines="0" w:afterAutospacing="0" w:line="520" w:lineRule="exact"/>
        <w:ind w:left="0" w:leftChars="0" w:right="0" w:rightChars="0" w:firstLine="640" w:firstLineChars="200"/>
        <w:jc w:val="left"/>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（五）人民广场管理办公室</w:t>
      </w:r>
    </w:p>
    <w:p>
      <w:pPr>
        <w:keepNext w:val="0"/>
        <w:keepLines w:val="0"/>
        <w:widowControl w:val="0"/>
        <w:suppressLineNumbers w:val="0"/>
        <w:spacing w:before="0" w:beforeLines="0" w:beforeAutospacing="0" w:after="0" w:afterLines="0" w:afterAutospacing="0" w:line="520" w:lineRule="exact"/>
        <w:ind w:left="0" w:leftChars="0" w:right="0" w:rightChars="0"/>
        <w:jc w:val="left"/>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 xml:space="preserve">    负责管理好广场内各种设施，维护处理设备故障，保证各种设施完好，正常工作，搞好绿化、美化和环境卫生，维持广场秩序，搞好安全保卫工作，为县委、政府的各项安排和活动搞好服务。</w:t>
      </w:r>
    </w:p>
    <w:p>
      <w:pPr>
        <w:keepNext w:val="0"/>
        <w:keepLines w:val="0"/>
        <w:widowControl w:val="0"/>
        <w:numPr>
          <w:ilvl w:val="0"/>
          <w:numId w:val="0"/>
        </w:numPr>
        <w:suppressLineNumbers w:val="0"/>
        <w:spacing w:before="0" w:beforeLines="0" w:beforeAutospacing="0" w:after="0" w:afterLines="0" w:afterAutospacing="0" w:line="520" w:lineRule="exact"/>
        <w:ind w:left="0" w:leftChars="0" w:right="0" w:rightChars="0" w:firstLine="640" w:firstLineChars="200"/>
        <w:jc w:val="both"/>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（六）建筑管理、质量监督站</w:t>
      </w:r>
    </w:p>
    <w:p>
      <w:pPr>
        <w:keepNext w:val="0"/>
        <w:keepLines w:val="0"/>
        <w:widowControl w:val="0"/>
        <w:suppressLineNumbers w:val="0"/>
        <w:spacing w:before="0" w:beforeLines="0" w:beforeAutospacing="0" w:after="0" w:afterLines="0" w:afterAutospacing="0" w:line="520" w:lineRule="exact"/>
        <w:ind w:left="420" w:leftChars="200" w:right="0" w:rightChars="0"/>
        <w:jc w:val="both"/>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 xml:space="preserve">   研究制定建筑产业政策、施工招标、工程监理质监的法规制度；对建筑业实行行业管理，负责全县建筑安装、装修、建筑制品等企业的资质等级管理工作；指导各建筑企业转换经营机制，深化内部改革，增强活力，培育建筑生产要素市场，指导管理县施工力量和外省进县施工队伍，负责建筑业统计；管理工程建设监理工作；负责并指导设计、施工招投标活动；指导工程（产品）质量监督、检测工作；指导行业安全生产；对建设项目进行竣工验收，监督检查重大建筑工程质量事故的调查处理。</w:t>
      </w:r>
    </w:p>
    <w:p>
      <w:pPr>
        <w:keepNext w:val="0"/>
        <w:keepLines w:val="0"/>
        <w:widowControl w:val="0"/>
        <w:suppressLineNumbers w:val="0"/>
        <w:spacing w:before="0" w:beforeLines="0" w:beforeAutospacing="0" w:after="0" w:afterLines="0" w:afterAutospacing="0" w:line="520" w:lineRule="exact"/>
        <w:ind w:left="0" w:leftChars="0" w:right="0" w:rightChars="0" w:firstLine="640" w:firstLineChars="200"/>
        <w:jc w:val="both"/>
        <w:textAlignment w:val="bottom"/>
        <w:rPr>
          <w:color w:val="auto"/>
          <w:highlight w:val="none"/>
        </w:rPr>
      </w:pPr>
      <w:r>
        <w:rPr>
          <w:rFonts w:hint="eastAsia" w:ascii="仿宋" w:hAnsi="仿宋" w:eastAsia="仿宋" w:cs="仿宋"/>
          <w:b w:val="0"/>
          <w:color w:val="auto"/>
          <w:kern w:val="0"/>
          <w:sz w:val="32"/>
          <w:szCs w:val="32"/>
          <w:highlight w:val="none"/>
          <w:shd w:val="clear" w:fill="FFFFFF"/>
          <w:lang w:val="en-US" w:eastAsia="zh-CN" w:bidi="ar"/>
        </w:rPr>
        <w:t>（七）路灯管理所</w:t>
      </w:r>
    </w:p>
    <w:p>
      <w:pPr>
        <w:keepNext w:val="0"/>
        <w:keepLines w:val="0"/>
        <w:widowControl w:val="0"/>
        <w:suppressLineNumbers w:val="0"/>
        <w:spacing w:before="0" w:beforeAutospacing="0" w:after="0" w:afterAutospacing="0" w:line="509" w:lineRule="atLeast"/>
        <w:ind w:left="0" w:right="0" w:firstLine="639" w:firstLineChars="0"/>
        <w:jc w:val="both"/>
        <w:rPr>
          <w:color w:val="auto"/>
          <w:highlight w:val="none"/>
        </w:rPr>
      </w:pPr>
      <w:r>
        <w:rPr>
          <w:rFonts w:hint="eastAsia" w:ascii="仿宋" w:hAnsi="仿宋" w:eastAsia="仿宋" w:cs="仿宋"/>
          <w:color w:val="auto"/>
          <w:kern w:val="0"/>
          <w:sz w:val="32"/>
          <w:szCs w:val="32"/>
          <w:highlight w:val="none"/>
          <w:shd w:val="clear" w:fill="FFFFFF"/>
          <w:lang w:val="en-US" w:eastAsia="zh-CN" w:bidi="ar"/>
        </w:rPr>
        <w:t xml:space="preserve"> 负责全县路灯的维护管理</w:t>
      </w:r>
    </w:p>
    <w:p>
      <w:pPr>
        <w:pStyle w:val="3"/>
        <w:keepNext w:val="0"/>
        <w:keepLines w:val="0"/>
        <w:widowControl/>
        <w:suppressLineNumbers w:val="0"/>
        <w:spacing w:before="0" w:beforeAutospacing="0" w:after="0" w:afterAutospacing="0" w:line="500" w:lineRule="exact"/>
        <w:ind w:left="0" w:right="0" w:rightChars="0"/>
        <w:jc w:val="both"/>
        <w:rPr>
          <w:color w:val="auto"/>
          <w:highlight w:val="none"/>
        </w:rPr>
      </w:pPr>
      <w:r>
        <w:rPr>
          <w:rFonts w:hint="eastAsia" w:ascii="仿宋" w:hAnsi="仿宋" w:eastAsia="仿宋" w:cs="仿宋"/>
          <w:color w:val="auto"/>
          <w:kern w:val="0"/>
          <w:sz w:val="32"/>
          <w:szCs w:val="32"/>
          <w:highlight w:val="none"/>
          <w:shd w:val="clear" w:fill="FFFFFF"/>
        </w:rPr>
        <w:t xml:space="preserve"> </w:t>
      </w:r>
    </w:p>
    <w:p>
      <w:pPr>
        <w:pStyle w:val="3"/>
        <w:keepNext w:val="0"/>
        <w:keepLines w:val="0"/>
        <w:widowControl/>
        <w:suppressLineNumbers w:val="0"/>
        <w:spacing w:before="0" w:beforeAutospacing="0" w:after="0" w:afterAutospacing="0" w:line="500" w:lineRule="exact"/>
        <w:ind w:left="0" w:right="0" w:rightChars="0" w:firstLine="640" w:firstLineChars="200"/>
        <w:jc w:val="both"/>
        <w:rPr>
          <w:color w:val="auto"/>
          <w:highlight w:val="none"/>
        </w:rPr>
      </w:pPr>
      <w:r>
        <w:rPr>
          <w:rFonts w:hint="eastAsia" w:ascii="仿宋" w:hAnsi="仿宋" w:eastAsia="仿宋" w:cs="仿宋"/>
          <w:color w:val="auto"/>
          <w:kern w:val="0"/>
          <w:sz w:val="32"/>
          <w:szCs w:val="32"/>
          <w:highlight w:val="none"/>
          <w:shd w:val="clear" w:fill="FFFFFF"/>
        </w:rPr>
        <w:t>编制人数31人，其中：行政人员编制4人，参照公务员管理的事业单位人员编制10人，全额拨款事业单位人员编制14人，工勤编制人数3人。实有在职人数47人，其中：行政在职4人，参照公务员管理的事业单位人员10人，事业在职15人，工勤在职人数0人。离退休人员16人，其中：离休人员0人，退休人员16人，遗属3人.</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仿宋" w:hAnsi="仿宋" w:eastAsia="仿宋" w:cs="仿宋"/>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仿宋" w:hAnsi="仿宋" w:eastAsia="仿宋" w:cs="仿宋"/>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仿宋" w:hAnsi="仿宋" w:eastAsia="仿宋" w:cs="仿宋"/>
          <w:color w:val="auto"/>
          <w:kern w:val="0"/>
          <w:sz w:val="32"/>
          <w:szCs w:val="32"/>
          <w:highlight w:val="none"/>
          <w:shd w:val="clear" w:fill="FFFFFF"/>
          <w:lang w:val="en-US" w:eastAsia="zh-CN" w:bidi="ar"/>
        </w:rPr>
        <w:t>第二部分 部门决算情况说明</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（一）部门收入支出决算总体情况说明（Z01表、02表）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收入27829.46万元,与上年11062.67万元相比，增加16766.79万元，增长151.56%，支出27424.88万元,与上年7628.19万元相比，增加19796.69万元，增长259.52%，结余5752.73万元，与上年5348.14万元相比，增加404.59万元，增长7.56%。增加变化主要原因是：农民集中住房、棚户区改造、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与预算相比：2017年初部门预算1550.96万元，本年增加26278.5万元；2017年实际支出比年初预算增加25882.92万元，增加原因是：农民集中住房、棚户区改造、道路改扩建等资金增加。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（二）部门收入总体情况说明（Z03表）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本年收入合计27829.46万元，其中：财政拨款收入11939.32万元，占43%；上级补助收入0万元，占0%；事业收入0万元，占0%；经营收入0万元，占0%；附属单位缴款0万元，占0%；其他收入15890.15万元，占57%。增加变化的主要原因是：农民集中住房、棚户区改造、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与预算相比情况：2017年初部门预算1541.96万元，本年增加10397.36万元,增加654.33%,增加变化的主要原因是：农民集中住房、棚户区改造、道路改扩建等资金增加。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（三）部门支出总体情况说明（Z04表）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本年支出合计27424.88万元，其中：基本支出511.54万元，占1.87%；项目支出26913.34万元，占98.13%；上缴上级支出0万元，占0%；经营支出0万元，占0%；对附属单位补助支出0万元，占0%。增减变化的主要原因是：农民集中住房、棚户区改造、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与预算相比情况：与2017年初部门预算支出474.96万元相比增加36.58万元,增加1.07%,项目支出预算数1067万元，相比加25846.34万元，增加原因：农民集中住房、棚户区改造、保障性安居工程，道路改扩建等资金增加。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（一）财政拨款收支总体情况说明（Z01-1、07、08表）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财政拨款收入11939.32万元，与上年10100.18万元相比，增加1839.14万元，增长30.01%。增减变化的主要原因是：农民集中住房、棚户区改造、保障性安居工程，道路改扩建等资金增加。财政拨款支出11534.73万元，与上年6665.7万元相比，增加4869.03万元，增长73%。其中：基本支出511.54万元，项目支出11023.19万元。增减变化的主要原因是：农民集中住房、棚户区改造、保障性安居工程，道路改扩建等资金增加。财政拨款结转结余5752.73万元，与上年5348.14相比，增加404.59万元，增长7%。增减变化的主要原因是：棚户区改造、保障性安居工程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与预算相比情况：2017年初部门预算收入1544.97万元，本年增加10394.35万元,增加672.79%,增减变化的主要原因是：农民集中住房、棚户区改造、保障性安居工程，道路改扩建等资金增加。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与2017年初部门预算支出1541.96万元相比增加9992.77万元,增加648.06%,增减变化的主要原因是：农民集中住房、棚户区改造、保障性安居工程，道路改扩建等资金增加。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（二）一般公共预算支出决算情况说明（Z08表）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一般公共预算财政拨款支出11534.73万元。与上年5749.2万元相比，增加5785.53万元，增长100%。增减变化的主要原因是：农民集中住房、棚户区改造、保障性安居工程，道路改扩建等资金增加。其中：按功能分类科目，行政事业单位离退休支出33.32万元。按经济分类科目，保障房支出13946.32万元，节能环保支出931.07万元，城乡社区支出12035.95万元。</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与预算相比情况：基本支出增加36.58万元，项目支出增加10916.47万元，增减变化的主要原因是：棚户区改造、保障性安居工程资金增加。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（三）政府性基金预算收支决算情况说明（Z01-1、10表）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政府性基金预算财政拨款收入0万元，与上年0万元相比，增加（减少）0万元，增长（降低）0%。增减变化的主要原因是：无。政府性基金预算财政拨款支出0万元，与上年0万元相比，增加（减少）0万元，增长（降低）0%。增减变化的主要原因是：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与预算相比情况：单位无政府性基金。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（四）政府性基金预算支出决算情况说明（Z10表）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政府性基金预算支出0万元。与上年0万元相比，增加（减少）0万元，增长（降低）0%。增减变化的主要原因是：无。其中：按功能分类科目，××支出0万元，××支出0万元。按经济分类科目，××支出0万元，××支出0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与预算相比情况：单位无政府性基金。</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三、部门结转结余情况（Z01、02表）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年末结转结余5752.73万元。与上年5348.14万元相比，增加404.59万元，增长（降低）7%。</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其中财政拨款结转结余5752.73万元万元。与上年5348.14万元相比，增加404.59万元，增长7%。</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四、一般公共预算“三公”经费支出情况（CS05表）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一般公共预算“三公”经费支出决算18.31万元，比上年增加（减少）0.05万元，增长（降低）3.58%，增加（减少）原因是无公务接待。其中，因公出国（境）费支出0万元，占0%，比上年增加（减少）0万元，增长（降低）0%，增加（减少）原因是无；公务用车购置及运行维护费支出18.31万元，占100%，比上年增加（减少）0.05万元，增长（降低）3.58%，增加（减少）原因是无公务接待；公务接待费支出0万元，占0%，比上年增加（减少）0万元，增长（降低）0%，增加（减少）原因是无。具体情况如下：</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因公出国（境）费支出0万元。泽普县住房和城乡建设局单位全年使用一般公共预算财政拨款安排的出国（境）团组0个，累计0人次。开支内容包括：无。</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公务用车购置及运行维护费18.31万元,其中，公务用车购置0万元，公务用车运行维护费18.31万元。主要用于车辆维护。2017年，单位一般公共财政拨款安排的公务用车购置量0辆，保有量为6辆。</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公务接待费0万元。具体是：国内公务接待支出0万元，主要是无公务接待等。泽普县住房和城乡建设局单位国内公务接待0批次，0人次。</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与预算相比情况：与年初部门预算公务用车运行费18.31万元相比无变化。</w:t>
      </w:r>
    </w:p>
    <w:p>
      <w:pPr>
        <w:keepNext w:val="0"/>
        <w:keepLines w:val="0"/>
        <w:widowControl w:val="0"/>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五、机关运行经费支出情况（CS05表）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2017年度泽普县住房和城乡建设局单位机关运行经费支出62.99万元，比上年61.67万元增加（减少）1.32万元，增长（降低）2.05%，主要原因是公务用车运行维护费增加。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六、政府采购情况（CS06表）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单位政府采购计划101.17万元，其中：政府采购货物支出100万元、政府采购工程支出0万元、政府采购服务支出1.17万元；实际采购89.57万元，其中：政府采购货物支出88.4万元、政府采购工程支出0万元、政府采购服务支出1.17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（一）国有资产占用情况说明（Z12、F01表）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截至2017年12月31日，资产总计29555.69万元，其中：流动资产27609.27万元，固定资产1946.42万元，其中：房屋982.81（平方米），价值94.1万元，共有车辆15辆，价值438.64万元，其中：部级领导干部用车0辆、一般公务用车5辆、一般执法执勤用车0辆、特种专业技术用车0辆、其他用车10辆（其他用车主要是：垃圾清运车、洒水车、扫地车、吸粪车、装载机，挖掘机，吊车）；单位价值50万元以上通用设备0台（套）、单位价值100万元以上专用设备0台（套），其他固定资产价值1413.68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（二）国有资产收益征缴情况说明（F02表）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截至2017年12月31日，泽普县住房和城乡建设局单位资产有偿使用收入合计0万元，资产处置收入合计0万元。其中：已缴国库0万元，已缴财政专户0万元，应缴未缴0万元，单位留用0万元。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（三）部门项目支出情况和项目绩效评价情况说明（Z06表）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2017年度，本部门单位实行绩效管理的项目 0个，涉及预算0万元，项目支出决算0万元。年末本部门单位民生项目和重点支出项目的绩效评价开展情况及结果：无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 w:hAnsi="仿宋" w:eastAsia="仿宋" w:cs="仿宋"/>
          <w:b/>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rPr>
          <w:color w:val="auto"/>
          <w:highlight w:val="none"/>
        </w:rPr>
      </w:pPr>
      <w:r>
        <w:rPr>
          <w:rFonts w:hint="eastAsia" w:ascii="仿宋" w:hAnsi="仿宋" w:eastAsia="仿宋" w:cs="仿宋"/>
          <w:color w:val="auto"/>
          <w:kern w:val="0"/>
          <w:sz w:val="32"/>
          <w:szCs w:val="32"/>
          <w:highlight w:val="none"/>
          <w:shd w:val="clear" w:fill="FFFFFF"/>
          <w:lang w:val="en-US" w:eastAsia="zh-CN" w:bidi="ar"/>
        </w:rPr>
        <w:t>第三部分 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其他收入：指除上述</w:t>
      </w:r>
      <w:r>
        <w:rPr>
          <w:rFonts w:hint="eastAsia" w:ascii="仿宋_GB2312" w:hAnsi="Times New Roman" w:eastAsia="仿宋_GB2312" w:cs="Times New Roman"/>
          <w:color w:val="auto"/>
          <w:kern w:val="0"/>
          <w:sz w:val="32"/>
          <w:szCs w:val="32"/>
          <w:highlight w:val="none"/>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用事业基金弥补收支差额：指事业单位在当年的</w:t>
      </w:r>
      <w:r>
        <w:rPr>
          <w:rFonts w:hint="eastAsia" w:ascii="仿宋_GB2312" w:hAnsi="Times New Roman" w:eastAsia="仿宋_GB2312" w:cs="Times New Roman"/>
          <w:color w:val="auto"/>
          <w:kern w:val="0"/>
          <w:sz w:val="32"/>
          <w:szCs w:val="32"/>
          <w:highlight w:val="none"/>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本单位支出功能分类说明。221（类）03（款）99（项）：指其他城乡住宅支出。221（类）01（款）03（项）：指棚户区改造支出。221（类）01（款）06（项）：指公共租赁住房支出。221（类）01（款）99（项）：指其他保障性安居工程。</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 w:hAnsi="仿宋" w:eastAsia="仿宋" w:cs="仿宋"/>
          <w:color w:val="auto"/>
          <w:kern w:val="0"/>
          <w:sz w:val="32"/>
          <w:szCs w:val="32"/>
          <w:highlight w:val="none"/>
          <w:shd w:val="clear" w:fill="FFFFFF"/>
          <w:lang w:val="en-US" w:eastAsia="zh-CN" w:bidi="ar"/>
        </w:rPr>
        <w:t>其他有关说明内容：无。</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Times New Roman" w:eastAsia="仿宋_GB2312" w:cs="Times New Roman"/>
          <w:b/>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第四部分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三十、《</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宋体" w:eastAsia="仿宋_GB2312" w:cs="仿宋_GB2312"/>
          <w:color w:val="auto"/>
          <w:kern w:val="0"/>
          <w:sz w:val="32"/>
          <w:szCs w:val="32"/>
          <w:highlight w:val="none"/>
          <w:shd w:val="clear" w:fill="FFFFFF"/>
          <w:lang w:val="en-US" w:eastAsia="zh-CN" w:bidi="ar"/>
        </w:rPr>
        <w:t>三十一、2017年部门决算公开情况核实表</w:t>
      </w:r>
    </w:p>
    <w:p>
      <w:pPr>
        <w:keepNext w:val="0"/>
        <w:keepLines w:val="0"/>
        <w:widowControl/>
        <w:suppressLineNumbers w:val="0"/>
        <w:spacing w:before="0" w:beforeAutospacing="0" w:after="0" w:afterAutospacing="0" w:line="500" w:lineRule="exact"/>
        <w:ind w:left="0" w:right="0" w:firstLine="480" w:firstLineChars="200"/>
        <w:jc w:val="left"/>
        <w:rPr>
          <w:color w:val="auto"/>
          <w:highlight w:val="none"/>
        </w:rPr>
      </w:pPr>
      <w:r>
        <w:rPr>
          <w:rFonts w:hint="eastAsia" w:ascii="宋体" w:hAnsi="宋体" w:eastAsia="宋体" w:cs="宋体"/>
          <w:color w:val="auto"/>
          <w:kern w:val="0"/>
          <w:sz w:val="24"/>
          <w:szCs w:val="24"/>
          <w:highlight w:val="none"/>
          <w:shd w:val="clear" w:fill="FFFFFF"/>
          <w:lang w:val="en-US" w:eastAsia="zh-CN" w:bidi="ar"/>
        </w:rPr>
        <w:t> </w:t>
      </w:r>
    </w:p>
    <w:p>
      <w:pPr>
        <w:keepNext w:val="0"/>
        <w:keepLines w:val="0"/>
        <w:widowControl/>
        <w:suppressLineNumbers w:val="0"/>
        <w:spacing w:before="0" w:beforeAutospacing="0" w:after="0" w:afterAutospacing="0" w:line="500" w:lineRule="exact"/>
        <w:ind w:left="0" w:right="0" w:firstLine="480" w:firstLineChars="200"/>
        <w:jc w:val="left"/>
        <w:rPr>
          <w:color w:val="auto"/>
          <w:highlight w:val="none"/>
        </w:rPr>
      </w:pPr>
      <w:r>
        <w:rPr>
          <w:rFonts w:hint="eastAsia" w:ascii="宋体" w:hAnsi="宋体" w:eastAsia="宋体" w:cs="宋体"/>
          <w:color w:val="auto"/>
          <w:kern w:val="0"/>
          <w:sz w:val="24"/>
          <w:szCs w:val="24"/>
          <w:highlight w:val="none"/>
          <w:shd w:val="clear" w:fill="FFFFFF"/>
          <w:lang w:val="en-US" w:eastAsia="zh-CN" w:bidi="ar"/>
        </w:rPr>
        <w:t> </w:t>
      </w:r>
    </w:p>
    <w:p>
      <w:pPr>
        <w:keepNext w:val="0"/>
        <w:keepLines w:val="0"/>
        <w:widowControl/>
        <w:suppressLineNumbers w:val="0"/>
        <w:pBdr>
          <w:top w:val="none" w:color="auto" w:sz="0" w:space="0"/>
          <w:bottom w:val="none" w:color="auto" w:sz="0" w:space="0"/>
        </w:pBdr>
        <w:shd w:val="clear" w:fill="FFFFFF"/>
        <w:spacing w:before="0" w:beforeAutospacing="0" w:after="900" w:afterAutospacing="0"/>
        <w:ind w:left="0" w:right="0"/>
        <w:jc w:val="left"/>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\o "分享到QQ空间"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\o "分享到新浪微博"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\o "分享到腾讯微博"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\o "分享到人人网"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r>
        <w:rPr>
          <w:rFonts w:hint="eastAsia" w:ascii="宋体" w:hAnsi="宋体" w:eastAsia="宋体" w:cs="宋体"/>
          <w:color w:val="auto"/>
          <w:kern w:val="0"/>
          <w:sz w:val="18"/>
          <w:szCs w:val="18"/>
          <w:highlight w:val="none"/>
          <w:shd w:val="clear" w:fill="FFFFFF"/>
          <w:lang w:val="en-US" w:eastAsia="zh-CN" w:bidi="ar"/>
        </w:rPr>
        <w:fldChar w:fldCharType="begin"/>
      </w:r>
      <w:r>
        <w:rPr>
          <w:rFonts w:hint="eastAsia" w:ascii="宋体" w:hAnsi="宋体" w:eastAsia="宋体" w:cs="宋体"/>
          <w:color w:val="auto"/>
          <w:kern w:val="0"/>
          <w:sz w:val="18"/>
          <w:szCs w:val="18"/>
          <w:highlight w:val="none"/>
          <w:shd w:val="clear" w:fill="FFFFFF"/>
          <w:lang w:val="en-US" w:eastAsia="zh-CN" w:bidi="ar"/>
        </w:rPr>
        <w:instrText xml:space="preserve"> HYPERLINK "http://www.xjzp.gov.cn/html/bmjsjjk/2018-9-13/1891314950514789.html" \o "分享到网易微博" </w:instrText>
      </w:r>
      <w:r>
        <w:rPr>
          <w:rFonts w:hint="eastAsia" w:ascii="宋体" w:hAnsi="宋体" w:eastAsia="宋体" w:cs="宋体"/>
          <w:color w:val="auto"/>
          <w:kern w:val="0"/>
          <w:sz w:val="18"/>
          <w:szCs w:val="18"/>
          <w:highlight w:val="none"/>
          <w:shd w:val="clear" w:fill="FFFFFF"/>
          <w:lang w:val="en-US" w:eastAsia="zh-CN" w:bidi="ar"/>
        </w:rPr>
        <w:fldChar w:fldCharType="separate"/>
      </w:r>
      <w:r>
        <w:rPr>
          <w:rFonts w:hint="eastAsia" w:ascii="宋体" w:hAnsi="宋体" w:eastAsia="宋体" w:cs="宋体"/>
          <w:color w:val="auto"/>
          <w:kern w:val="0"/>
          <w:sz w:val="18"/>
          <w:szCs w:val="18"/>
          <w:highlight w:val="none"/>
          <w:shd w:val="clear" w:fill="FFFFFF"/>
          <w:lang w:val="en-US" w:eastAsia="zh-CN" w:bidi="ar"/>
        </w:rPr>
        <w:fldChar w:fldCharType="end"/>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0E299B"/>
    <w:rsid w:val="03715E5D"/>
    <w:rsid w:val="046B47C4"/>
    <w:rsid w:val="29787AB2"/>
    <w:rsid w:val="5FCE2D92"/>
    <w:rsid w:val="6334370D"/>
    <w:rsid w:val="669D6013"/>
    <w:rsid w:val="680E29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character" w:styleId="5">
    <w:name w:val="FollowedHyperlink"/>
    <w:basedOn w:val="4"/>
    <w:qFormat/>
    <w:uiPriority w:val="0"/>
    <w:rPr>
      <w:color w:val="000000"/>
      <w:u w:val="none"/>
    </w:rPr>
  </w:style>
  <w:style w:type="character" w:styleId="6">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2018-12-22T13:37:00Z</dcterms:created>
  <dc:creator>Administrator</dc:creator>
  <cp:lastModifiedBy>Administrator</cp:lastModifiedBy>
  <dcterms:modified xsi:type="dcterms:W3CDTF">2019-01-04T05:51:01Z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