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hint="eastAsia" w:ascii="黑体" w:hAnsi="黑体" w:eastAsia="黑体"/>
          <w:sz w:val="32"/>
          <w:szCs w:val="32"/>
          <w:lang w:eastAsia="zh-CN"/>
        </w:rPr>
      </w:pPr>
      <w:r>
        <w:rPr>
          <w:rFonts w:hint="eastAsia" w:ascii="黑体" w:hAnsi="黑体" w:eastAsia="黑体"/>
          <w:sz w:val="32"/>
          <w:szCs w:val="32"/>
        </w:rPr>
        <w:t>附件1：</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2018年度新疆喀什地区泽普县种子管理站部门决算公开说明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w:t>
      </w:r>
      <w:r>
        <w:rPr>
          <w:rFonts w:hint="eastAsia" w:ascii="黑体" w:hAnsi="黑体" w:eastAsia="黑体"/>
          <w:bCs/>
          <w:kern w:val="0"/>
          <w:sz w:val="32"/>
          <w:szCs w:val="32"/>
          <w:lang w:val="en-US" w:eastAsia="zh-CN"/>
        </w:rPr>
        <w:t xml:space="preserve"> </w:t>
      </w:r>
      <w:r>
        <w:rPr>
          <w:rFonts w:hint="eastAsia" w:ascii="黑体" w:hAnsi="黑体" w:eastAsia="黑体"/>
          <w:bCs/>
          <w:kern w:val="0"/>
          <w:sz w:val="32"/>
          <w:szCs w:val="32"/>
        </w:rPr>
        <w:t>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ind w:firstLine="640" w:firstLineChars="200"/>
        <w:rPr>
          <w:rFonts w:hint="eastAsia" w:ascii="黑体" w:hAnsi="黑体" w:eastAsia="仿宋_GB2312" w:cs="宋体"/>
          <w:bCs/>
          <w:kern w:val="0"/>
          <w:sz w:val="32"/>
          <w:szCs w:val="32"/>
          <w:lang w:eastAsia="zh-CN"/>
        </w:rPr>
      </w:pPr>
      <w:r>
        <w:rPr>
          <w:rFonts w:hint="eastAsia" w:ascii="仿宋_GB2312" w:eastAsia="仿宋_GB2312"/>
          <w:sz w:val="32"/>
          <w:szCs w:val="32"/>
        </w:rPr>
        <w:t>种子管理事宜，促进农业发展。承担农作物新品种区域试验，新品种审定，承担农作物种子质量管理职责，负责农作物种子执法监督体系指导，农作物种子（生产/经营）许可证管理工作。</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新疆喀什地区泽普县种子管理站</w:t>
      </w:r>
      <w:r>
        <w:rPr>
          <w:rFonts w:hint="eastAsia" w:ascii="仿宋_GB2312" w:eastAsia="仿宋_GB2312"/>
          <w:sz w:val="32"/>
          <w:szCs w:val="32"/>
        </w:rPr>
        <w:t>部门决算包括：</w:t>
      </w:r>
      <w:r>
        <w:rPr>
          <w:rFonts w:ascii="仿宋_GB2312" w:eastAsia="仿宋_GB2312"/>
          <w:sz w:val="32"/>
          <w:szCs w:val="32"/>
        </w:rPr>
        <w:t>新疆喀什地区泽普县种子管理站</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新疆喀什地区泽普县种子管理站</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新疆喀什地区泽普县种子管理站</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99"/>
      <w:bookmarkStart w:id="5" w:name="OLE_LINK100"/>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72.27</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，与上年相比，减少2.89万元，下降3.85%，减少的主要原因是：</w:t>
      </w:r>
      <w:r>
        <w:rPr>
          <w:rFonts w:hint="eastAsia" w:ascii="仿宋_GB2312" w:eastAsia="仿宋_GB2312"/>
          <w:color w:val="000000" w:themeColor="text1"/>
          <w:sz w:val="32"/>
          <w:szCs w:val="32"/>
        </w:rPr>
        <w:t>本年减少一个人，工资福利支出减少；</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72.27</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，与上年相比，减少2.89万元，下降3.85%，减少的主要原因是：</w:t>
      </w:r>
      <w:r>
        <w:rPr>
          <w:rFonts w:hint="eastAsia" w:ascii="仿宋_GB2312" w:eastAsia="仿宋_GB2312"/>
          <w:color w:val="000000" w:themeColor="text1"/>
          <w:sz w:val="32"/>
          <w:szCs w:val="32"/>
        </w:rPr>
        <w:t>本年减少一个人，工资福利支出减少；</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w:t>
      </w:r>
      <w:r>
        <w:rPr>
          <w:rFonts w:ascii="仿宋_GB2312" w:eastAsia="仿宋_GB2312"/>
          <w:color w:val="000000" w:themeColor="text1"/>
          <w:sz w:val="32"/>
          <w:szCs w:val="32"/>
        </w:rPr>
        <w:t>结余较上年无变化。</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72.27</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72.27</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况：本年收入年初预算数77.69万元</w:t>
      </w:r>
      <w:r>
        <w:rPr>
          <w:rFonts w:hint="eastAsia" w:ascii="仿宋_GB2312" w:eastAsia="仿宋_GB2312"/>
          <w:sz w:val="32"/>
          <w:szCs w:val="32"/>
        </w:rPr>
        <w:t>，决算数72.27万元</w:t>
      </w:r>
      <w:r>
        <w:rPr>
          <w:rFonts w:ascii="仿宋_GB2312" w:eastAsia="仿宋_GB2312"/>
          <w:sz w:val="32"/>
          <w:szCs w:val="32"/>
        </w:rPr>
        <w:t>，预决算差异率-6.98%，差异主要原因是本年减少一个人，工资福利支出减少。</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hint="eastAsia" w:ascii="仿宋_GB2312" w:eastAsia="仿宋_GB2312"/>
          <w:color w:val="000000" w:themeColor="text1"/>
          <w:spacing w:val="-6"/>
          <w:sz w:val="32"/>
          <w:szCs w:val="32"/>
          <w:lang w:eastAsia="zh-CN"/>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72.27</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72.27</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sz w:val="32"/>
          <w:szCs w:val="32"/>
          <w:lang w:eastAsia="zh-CN"/>
        </w:rPr>
        <w:t>。</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与年初预算数相比情况：本年支出年初预算数77.69万元，</w:t>
      </w:r>
      <w:r>
        <w:rPr>
          <w:rFonts w:hint="eastAsia" w:ascii="仿宋_GB2312" w:eastAsia="仿宋_GB2312"/>
          <w:sz w:val="32"/>
          <w:szCs w:val="32"/>
        </w:rPr>
        <w:t>决算数72.27万元</w:t>
      </w:r>
      <w:r>
        <w:rPr>
          <w:rFonts w:ascii="仿宋_GB2312" w:eastAsia="仿宋_GB2312"/>
          <w:sz w:val="32"/>
          <w:szCs w:val="32"/>
        </w:rPr>
        <w:t>，预决算差异率-6.98%，差异主要原因是本年减少一个人，工资福利支出减少。</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72.27</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，与上年相比，减少2.89万元，下降3.85%，减少的主要原因是：本年减少一个人，工资福利支出减少。</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72.27</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，与上年相比，减少2.89万元，下降3.85%，减少的主要原因是：</w:t>
      </w:r>
      <w:r>
        <w:rPr>
          <w:rFonts w:ascii="仿宋_GB2312" w:eastAsia="仿宋_GB2312"/>
          <w:sz w:val="32"/>
          <w:szCs w:val="32"/>
        </w:rPr>
        <w:t>本年减少一个人，工资福利支出减少。</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72.27</w:t>
      </w:r>
      <w:r>
        <w:rPr>
          <w:rFonts w:hint="eastAsia" w:ascii="仿宋_GB2312" w:eastAsia="仿宋_GB2312"/>
          <w:color w:val="000000" w:themeColor="text1"/>
          <w:sz w:val="32"/>
          <w:szCs w:val="32"/>
        </w:rPr>
        <w:t>万元，项目支出</w:t>
      </w:r>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，与上年相比，项目支出0万元。财政拨款结转结余0万元，与上年相比，无变化。</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77.69</w:t>
      </w:r>
      <w:r>
        <w:rPr>
          <w:rFonts w:hint="eastAsia" w:ascii="仿宋_GB2312" w:eastAsia="仿宋_GB2312"/>
          <w:color w:val="000000" w:themeColor="text1"/>
          <w:sz w:val="32"/>
          <w:szCs w:val="32"/>
        </w:rPr>
        <w:t>万元，决算数</w:t>
      </w:r>
      <w:r>
        <w:rPr>
          <w:rFonts w:hint="eastAsia" w:ascii="仿宋_GB2312" w:eastAsia="仿宋_GB2312"/>
          <w:sz w:val="32"/>
          <w:szCs w:val="32"/>
        </w:rPr>
        <w:t>72.27</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，预决算差异率-6.98%，差异主要原因是本年减少一个人，工资福利支出减少。</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77.69</w:t>
      </w:r>
      <w:r>
        <w:rPr>
          <w:rFonts w:hint="eastAsia" w:ascii="仿宋_GB2312" w:eastAsia="仿宋_GB2312"/>
          <w:color w:val="000000" w:themeColor="text1"/>
          <w:sz w:val="32"/>
          <w:szCs w:val="32"/>
        </w:rPr>
        <w:t>万元，决算数</w:t>
      </w:r>
      <w:r>
        <w:rPr>
          <w:rFonts w:hint="eastAsia" w:ascii="仿宋_GB2312" w:eastAsia="仿宋_GB2312"/>
          <w:sz w:val="32"/>
          <w:szCs w:val="32"/>
        </w:rPr>
        <w:t>72.27</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，预决算差异率-6.98%，差异主要原因是本年减少一个人，工资福利支出减少。</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72.27</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，与上年相比，减少2.89万元，下降3.85%，减少的主要原因是：本年减少一个人，工资福利支出减少。</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72.27</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，与上年相比，减少2.89万元，下降3.85%，减少的主要原因是：本年减少一个人，工资福利支出减少。</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住房保障支出4.36万元,农林水支出61.03万元,社会保障和就业支出6.89万元。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工资福利支出62.51万元,商品和服务支出1.94万元,对个人和家庭的补助7.83万元。</w:t>
      </w:r>
    </w:p>
    <w:p>
      <w:pPr>
        <w:spacing w:line="540" w:lineRule="exact"/>
        <w:ind w:firstLine="640" w:firstLineChars="200"/>
        <w:rPr>
          <w:rFonts w:ascii="仿宋_GB2312" w:eastAsia="仿宋_GB2312"/>
          <w:color w:val="000000" w:themeColor="text1"/>
          <w:sz w:val="32"/>
          <w:szCs w:val="32"/>
        </w:rPr>
      </w:pPr>
      <w:bookmarkStart w:id="41" w:name="OLE_LINK67"/>
      <w:bookmarkStart w:id="42" w:name="OLE_LINK66"/>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77.69</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72.27</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，预决算差异率-6.98%，差异主要原因是本年减少一个人，工资福利支出减少。</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77.69</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72.27</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，预决算差异率-6.98%，差异主要原因是本年减少一个人，工资福利支出减少。</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，与上年相比无变化，主要原因是：本年无政府性基金支出。</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，与上年相比无变化，主要原因是：本年无政府性基金支出。</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2"/>
      <w:bookmarkStart w:id="50" w:name="OLE_LINK71"/>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，预决算差异率0%，差异主要原因是本年无政府性基金支出。</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，预决算差异率0%，差异主要原因是本年无政府性基金支出。</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5"/>
      <w:bookmarkStart w:id="53" w:name="OLE_LINK26"/>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7"/>
      <w:bookmarkStart w:id="55" w:name="OLE_LINK28"/>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，与上年相比无变化，主要原因是：本年度无三公经费支出。</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0%，与上年相比无变化，主要原因是：本年未安排因公出国（境）费；</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0%，与上年相比无变化，主要原因是：未安排公务用车运行费；</w:t>
      </w:r>
      <w:bookmarkEnd w:id="61"/>
      <w:bookmarkStart w:id="62" w:name="OLE_LINK32"/>
      <w:bookmarkStart w:id="63" w:name="OLE_LINK78"/>
      <w:bookmarkStart w:id="64" w:name="OLE_LINK77"/>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0%，与上年相比无变化，主要原因是：本年未安排公务接待费。</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79"/>
      <w:bookmarkStart w:id="66" w:name="OLE_LINK80"/>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新疆喀什地区泽普县种子管理站</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5"/>
      <w:bookmarkStart w:id="69" w:name="OLE_LINK34"/>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本年未安排因公出国（境）费。</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0"/>
      <w:bookmarkStart w:id="76" w:name="OLE_LINK41"/>
      <w:r>
        <w:rPr>
          <w:rFonts w:hint="eastAsia" w:ascii="仿宋_GB2312" w:eastAsia="仿宋_GB2312"/>
          <w:color w:val="000000" w:themeColor="text1"/>
          <w:sz w:val="32"/>
          <w:szCs w:val="32"/>
        </w:rPr>
        <w:t>公务用车运行维护费</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未安排公务用车运行费；</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0</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无公务接待费</w:t>
      </w:r>
      <w:r>
        <w:rPr>
          <w:rFonts w:hint="eastAsia" w:ascii="仿宋_GB2312" w:eastAsia="仿宋_GB2312"/>
          <w:color w:val="000000" w:themeColor="text1"/>
          <w:sz w:val="32"/>
          <w:szCs w:val="32"/>
        </w:rPr>
        <w:t>等。</w:t>
      </w:r>
      <w:bookmarkEnd w:id="78"/>
      <w:bookmarkStart w:id="79" w:name="OLE_LINK84"/>
      <w:r>
        <w:rPr>
          <w:rFonts w:hint="eastAsia" w:ascii="仿宋_GB2312" w:eastAsia="仿宋_GB2312"/>
          <w:sz w:val="32"/>
          <w:szCs w:val="32"/>
        </w:rPr>
        <w:t>新疆喀什地区泽普县种子管理站</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，预决算差异率0%，差异主要原因是无变化。</w:t>
      </w:r>
      <w:bookmarkEnd w:id="80"/>
      <w:bookmarkStart w:id="81" w:name="OLE_LINK87"/>
      <w:bookmarkStart w:id="82" w:name="OLE_LINK86"/>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，预决算差异率0%，差异主要原因是无变化；</w:t>
      </w:r>
      <w:bookmarkEnd w:id="81"/>
      <w:bookmarkEnd w:id="82"/>
      <w:bookmarkStart w:id="83" w:name="OLE_LINK88"/>
      <w:bookmarkStart w:id="84"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，预决算差异率0%，差异主要原因是无变化；</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，预决算差异率0%，差异主要原因是本年未安排公务接待费；</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ascii="仿宋_GB2312" w:eastAsia="仿宋_GB2312"/>
          <w:color w:val="000000" w:themeColor="text1"/>
          <w:sz w:val="32"/>
          <w:szCs w:val="32"/>
        </w:rPr>
        <w:t>本年未安排公务接待费。</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新疆喀什地区泽普县种子管理站日常公用经费1.94万元，与上年相比，减少1.97万元，下降50.38%，减少的主要原因是：是严格控制日常公用经费支出。</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0</w:t>
      </w:r>
      <w:r>
        <w:rPr>
          <w:rFonts w:hint="eastAsia" w:ascii="仿宋_GB2312" w:eastAsia="仿宋_GB2312"/>
          <w:color w:val="000000" w:themeColor="text1"/>
          <w:sz w:val="32"/>
          <w:szCs w:val="32"/>
        </w:rPr>
        <w:t>辆，价值</w:t>
      </w:r>
      <w:r>
        <w:rPr>
          <w:rFonts w:hint="eastAsia" w:ascii="仿宋_GB2312" w:eastAsia="仿宋_GB2312"/>
          <w:sz w:val="32"/>
          <w:szCs w:val="32"/>
        </w:rPr>
        <w:t>0</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无其他用车；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rPr>
        <w:t>2018年度，本部门单位预算绩效自评情况：</w:t>
      </w:r>
      <w:r>
        <w:rPr>
          <w:rFonts w:hint="eastAsia" w:ascii="仿宋_GB2312" w:eastAsia="仿宋_GB2312"/>
          <w:sz w:val="32"/>
          <w:szCs w:val="32"/>
          <w:lang w:val="en-US" w:eastAsia="zh-CN"/>
        </w:rPr>
        <w:t>2018年度本单位无项目，无项目绩效。</w:t>
      </w:r>
    </w:p>
    <w:p>
      <w:pPr>
        <w:spacing w:line="540" w:lineRule="exact"/>
        <w:jc w:val="center"/>
        <w:rPr>
          <w:rFonts w:ascii="黑体" w:hAnsi="黑体" w:eastAsia="黑体"/>
          <w:sz w:val="32"/>
          <w:szCs w:val="32"/>
        </w:rPr>
      </w:pPr>
      <w:bookmarkStart w:id="92" w:name="_GoBack"/>
      <w:bookmarkEnd w:id="92"/>
      <w:r>
        <w:rPr>
          <w:rFonts w:hint="eastAsia" w:ascii="黑体" w:hAnsi="黑体" w:eastAsia="黑体"/>
          <w:sz w:val="32"/>
          <w:szCs w:val="32"/>
        </w:rPr>
        <w:t>第三部分专业名词解释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213（类）01（款）04（项）指：事业运行。221（类）02（款）01（项）指：住房公积金。208（类）05（款）05（项）指：机关事业单位基本养老保险缴费支出。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hint="eastAsia" w:ascii="宋体" w:hAnsi="宋体" w:eastAsia="宋体"/>
        <w:sz w:val="28"/>
        <w:lang w:eastAsia="zh-CN"/>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-12-</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4DD5EC2"/>
    <w:rsid w:val="06B856EE"/>
    <w:rsid w:val="07FE5938"/>
    <w:rsid w:val="084604BC"/>
    <w:rsid w:val="08883825"/>
    <w:rsid w:val="09725983"/>
    <w:rsid w:val="0A382BB5"/>
    <w:rsid w:val="0A613B0A"/>
    <w:rsid w:val="0AA4543A"/>
    <w:rsid w:val="0BE61132"/>
    <w:rsid w:val="0C9B0DD6"/>
    <w:rsid w:val="0CE4791C"/>
    <w:rsid w:val="0E063C64"/>
    <w:rsid w:val="0F4C7B96"/>
    <w:rsid w:val="0FFB575E"/>
    <w:rsid w:val="10845F1B"/>
    <w:rsid w:val="11463A00"/>
    <w:rsid w:val="11600918"/>
    <w:rsid w:val="11B0398F"/>
    <w:rsid w:val="13B960C5"/>
    <w:rsid w:val="152777F4"/>
    <w:rsid w:val="15C674B6"/>
    <w:rsid w:val="18D54A0D"/>
    <w:rsid w:val="1A4106A0"/>
    <w:rsid w:val="1A4F5437"/>
    <w:rsid w:val="1AB77CD0"/>
    <w:rsid w:val="1AB873DC"/>
    <w:rsid w:val="1DFF4033"/>
    <w:rsid w:val="1E807156"/>
    <w:rsid w:val="1EA657F6"/>
    <w:rsid w:val="1F097CB6"/>
    <w:rsid w:val="208F68A1"/>
    <w:rsid w:val="2166156B"/>
    <w:rsid w:val="21B02D83"/>
    <w:rsid w:val="22A236F5"/>
    <w:rsid w:val="23995975"/>
    <w:rsid w:val="2432220E"/>
    <w:rsid w:val="248303BA"/>
    <w:rsid w:val="24837E47"/>
    <w:rsid w:val="252E01AA"/>
    <w:rsid w:val="2680023E"/>
    <w:rsid w:val="26FF4E88"/>
    <w:rsid w:val="29680352"/>
    <w:rsid w:val="2A020F75"/>
    <w:rsid w:val="2B007AEE"/>
    <w:rsid w:val="2BC14C56"/>
    <w:rsid w:val="2C1B026F"/>
    <w:rsid w:val="2CC61F55"/>
    <w:rsid w:val="2D622B9C"/>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3F3B31"/>
    <w:rsid w:val="3BE41ABD"/>
    <w:rsid w:val="3C5421A9"/>
    <w:rsid w:val="3D903B21"/>
    <w:rsid w:val="3F440741"/>
    <w:rsid w:val="41FC306C"/>
    <w:rsid w:val="44BE5554"/>
    <w:rsid w:val="451E0908"/>
    <w:rsid w:val="452C2D31"/>
    <w:rsid w:val="45D26E14"/>
    <w:rsid w:val="46A541B1"/>
    <w:rsid w:val="48046DE5"/>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214E7"/>
    <w:rsid w:val="61460FBE"/>
    <w:rsid w:val="62775810"/>
    <w:rsid w:val="62D83744"/>
    <w:rsid w:val="630F4048"/>
    <w:rsid w:val="63AA02E5"/>
    <w:rsid w:val="64700DE9"/>
    <w:rsid w:val="65C613BD"/>
    <w:rsid w:val="65FD118C"/>
    <w:rsid w:val="682C3D89"/>
    <w:rsid w:val="68611305"/>
    <w:rsid w:val="6A162DE0"/>
    <w:rsid w:val="6A331428"/>
    <w:rsid w:val="6B2E5CB6"/>
    <w:rsid w:val="6B3D4886"/>
    <w:rsid w:val="6DF8675E"/>
    <w:rsid w:val="6EA80098"/>
    <w:rsid w:val="6F8D70FF"/>
    <w:rsid w:val="6FFE5011"/>
    <w:rsid w:val="7178734D"/>
    <w:rsid w:val="71791096"/>
    <w:rsid w:val="717B0C34"/>
    <w:rsid w:val="719053E2"/>
    <w:rsid w:val="71FB78FD"/>
    <w:rsid w:val="7275064A"/>
    <w:rsid w:val="733F750B"/>
    <w:rsid w:val="735702E2"/>
    <w:rsid w:val="765F635A"/>
    <w:rsid w:val="76B73454"/>
    <w:rsid w:val="76D254BD"/>
    <w:rsid w:val="77727ACD"/>
    <w:rsid w:val="78071142"/>
    <w:rsid w:val="79296B37"/>
    <w:rsid w:val="7A4C4C40"/>
    <w:rsid w:val="7AA0518E"/>
    <w:rsid w:val="7B041636"/>
    <w:rsid w:val="7CA86749"/>
    <w:rsid w:val="7E6458F8"/>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318</TotalTime>
  <ScaleCrop>false</ScaleCrop>
  <LinksUpToDate>false</LinksUpToDate>
  <CharactersWithSpaces>7696</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cp:lastModifiedBy>
  <dcterms:modified xsi:type="dcterms:W3CDTF">2020-04-05T12:46:53Z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