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700" w:lineRule="exact"/>
        <w:jc w:val="left"/>
        <w:rPr>
          <w:rFonts w:ascii="仿宋_GB2312" w:hAnsi="仿宋_GB2312" w:eastAsia="仿宋_GB2312" w:cs="仿宋_GB2312"/>
          <w:kern w:val="0"/>
          <w:sz w:val="36"/>
          <w:szCs w:val="36"/>
          <w:lang w:val="zh-TW" w:eastAsia="zh-TW"/>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中央新型农民培训补助资金</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新疆农业广播电视学校泽普县分校</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新疆农业广播电视学校泽普县分校</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克力比奴尔·依沙木丁13779498596</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lang w:val="en-US" w:eastAsia="zh-CN"/>
        </w:rPr>
        <w:t>31</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480" w:firstLineChars="150"/>
        <w:rPr>
          <w:rFonts w:hint="eastAsia" w:ascii="仿宋_GB2312" w:eastAsia="仿宋_GB2312"/>
          <w:sz w:val="32"/>
          <w:szCs w:val="32"/>
        </w:rPr>
      </w:pPr>
      <w:r>
        <w:rPr>
          <w:rFonts w:hint="eastAsia" w:ascii="仿宋_GB2312" w:eastAsia="仿宋_GB2312"/>
          <w:sz w:val="32"/>
          <w:szCs w:val="32"/>
        </w:rPr>
        <w:t>对泽普县广大农民进行新知识、新技能培训，培养和造就农村应用型人才，以起到农民增收的作用；以成人学历教育为基础，进行成人教育招生，强化培训与考试</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项目实施后，通过对</w:t>
      </w:r>
      <w:r>
        <w:rPr>
          <w:rFonts w:hint="eastAsia" w:ascii="仿宋_GB2312" w:hAnsi="仿宋_GB2312" w:eastAsia="仿宋_GB2312" w:cs="仿宋_GB2312"/>
          <w:sz w:val="32"/>
          <w:szCs w:val="32"/>
          <w:lang w:eastAsia="zh-CN"/>
        </w:rPr>
        <w:t>农民</w:t>
      </w:r>
      <w:r>
        <w:rPr>
          <w:rFonts w:hint="eastAsia" w:ascii="仿宋_GB2312" w:hAnsi="仿宋_GB2312" w:eastAsia="仿宋_GB2312" w:cs="仿宋_GB2312"/>
          <w:sz w:val="32"/>
          <w:szCs w:val="32"/>
        </w:rPr>
        <w:t>分批次进行培训，提高</w:t>
      </w:r>
      <w:r>
        <w:rPr>
          <w:rFonts w:hint="eastAsia" w:ascii="仿宋_GB2312" w:hAnsi="仿宋_GB2312" w:eastAsia="仿宋_GB2312" w:cs="仿宋_GB2312"/>
          <w:sz w:val="32"/>
          <w:szCs w:val="32"/>
          <w:lang w:eastAsia="zh-CN"/>
        </w:rPr>
        <w:t>农民</w:t>
      </w:r>
      <w:r>
        <w:rPr>
          <w:rFonts w:hint="eastAsia" w:ascii="仿宋_GB2312" w:hAnsi="仿宋_GB2312" w:eastAsia="仿宋_GB2312" w:cs="仿宋_GB2312"/>
          <w:sz w:val="32"/>
          <w:szCs w:val="32"/>
        </w:rPr>
        <w:t>的综合业务素质，提升服务农业的水平，不断健全农业技术推广服务体系。围绕特色农作物种植、病虫害综合防治等推广等实用模式，做好农业技术的示范引领，促进项目实施区域的农民掌握农业实用技术，促进增收；积极与自治区、地区农技主管部门及自治区农科院、疆内外农业科研院校对接，做好特聘农业技术专家的聘用，结合我县农业发展现状及农业生产中亟待解决的林果间作模式促进农业增产，林果增效的技术培训，通过“理论+实地操作”的模式对县乡村三级农技人员及乡村骨干、贫困户进行培训，确保让乡村农业技术骨干、贫困户掌握实用技术，助力增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为用于各乡镇场新型职业农民培训项目资金30万元</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pStyle w:val="48"/>
        <w:spacing w:line="700" w:lineRule="exact"/>
        <w:ind w:firstLine="640" w:firstLineChars="200"/>
        <w:jc w:val="left"/>
        <w:rPr>
          <w:rFonts w:ascii="仿宋_GB2312" w:hAnsi="仿宋_GB2312" w:eastAsia="仿宋_GB2312" w:cs="仿宋_GB2312"/>
          <w:color w:val="auto"/>
          <w:sz w:val="32"/>
          <w:szCs w:val="32"/>
        </w:rPr>
      </w:pPr>
      <w:r>
        <w:rPr>
          <w:rFonts w:ascii="仿宋_GB2312" w:hAnsi="仿宋_GB2312" w:eastAsia="仿宋_GB2312" w:cs="仿宋_GB2312"/>
          <w:b w:val="0"/>
          <w:color w:val="auto"/>
          <w:sz w:val="32"/>
          <w:u w:val="none"/>
        </w:rPr>
        <w:t>项目全年预算数为30万元，执行数为0万元，完成预算的0%。因项目为跨年项目，资金支付进度未完成</w:t>
      </w:r>
      <w:r>
        <w:rPr>
          <w:rFonts w:hint="eastAsia" w:ascii="仿宋_GB2312" w:hAnsi="仿宋_GB2312" w:eastAsia="仿宋_GB2312" w:cs="仿宋_GB2312"/>
          <w:b w:val="0"/>
          <w:color w:val="auto"/>
          <w:sz w:val="32"/>
          <w:u w:val="none"/>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本项目实际支付资金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万元，预算执行率0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b w:val="0"/>
          <w:color w:val="auto"/>
          <w:sz w:val="32"/>
          <w:u w:val="none"/>
        </w:rPr>
        <w:t>因项目为跨年项目，资金支付进度未完成</w:t>
      </w:r>
      <w:r>
        <w:rPr>
          <w:rFonts w:hint="eastAsia" w:ascii="仿宋_GB2312" w:hAnsi="仿宋_GB2312" w:eastAsia="仿宋_GB2312" w:cs="仿宋_GB2312"/>
          <w:b w:val="0"/>
          <w:color w:val="auto"/>
          <w:sz w:val="32"/>
          <w:u w:val="none"/>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已制定或具有相应的项目资金管理办法；项目资金管理办法完全符合国家财经法规和财务管理制度以及有关资金管理办法的规定；资金的拨付有完整的审批程序和手续；不存在截留、挤占、挪用、虚列支出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hint="eastAsia"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left="-1" w:right="-1" w:firstLine="646"/>
        <w:jc w:val="left"/>
        <w:rPr>
          <w:rStyle w:val="19"/>
          <w:rFonts w:hint="eastAsia" w:ascii="楷体" w:hAnsi="楷体" w:eastAsia="楷体"/>
          <w:spacing w:val="-4"/>
          <w:sz w:val="32"/>
          <w:szCs w:val="32"/>
        </w:rPr>
      </w:pPr>
      <w:r>
        <w:rPr>
          <w:rFonts w:ascii="仿宋_GB2312" w:hAnsi="仿宋_GB2312" w:eastAsia="仿宋_GB2312" w:cs="仿宋_GB2312"/>
          <w:b w:val="0"/>
          <w:color w:val="auto"/>
          <w:sz w:val="32"/>
          <w:u w:val="none"/>
        </w:rPr>
        <w:t>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auto"/>
          <w:sz w:val="32"/>
          <w:u w:val="none"/>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黑体" w:hAnsi="黑体" w:eastAsia="黑体"/>
        </w:rPr>
      </w:pPr>
      <w:r>
        <w:rPr>
          <w:rFonts w:hint="eastAsia" w:ascii="仿宋" w:hAnsi="仿宋" w:eastAsia="仿宋"/>
          <w:bCs/>
          <w:spacing w:val="-4"/>
          <w:sz w:val="32"/>
          <w:szCs w:val="32"/>
        </w:rPr>
        <w:t>项目实施过程中，我单位建立了《项目资金实施办法》保障项目的顺利实施。项目的实施遵守相关法律法规和业务管理规定，项目资料齐全并及时归档。已建立《建设项目日常检查监督检查机制》，不定期对项目进度情况进行督导检查，对检查过程中发现的问题及时督促整改，确保了项目按时保质完成。</w:t>
      </w: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本项目共设置一级指标</w:t>
      </w: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二级指标</w:t>
      </w:r>
      <w:r>
        <w:rPr>
          <w:rFonts w:hint="eastAsia" w:ascii="仿宋_GB2312" w:hAnsi="仿宋_GB2312" w:eastAsia="仿宋_GB2312" w:cs="仿宋_GB2312"/>
          <w:sz w:val="32"/>
          <w:szCs w:val="32"/>
          <w:lang w:val="en-US" w:eastAsia="zh-CN"/>
        </w:rPr>
        <w:t>8</w:t>
      </w:r>
      <w:r>
        <w:rPr>
          <w:rFonts w:ascii="仿宋_GB2312" w:hAnsi="仿宋_GB2312" w:eastAsia="仿宋_GB2312" w:cs="仿宋_GB2312"/>
          <w:sz w:val="32"/>
          <w:szCs w:val="32"/>
        </w:rPr>
        <w:t>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三级指标</w:t>
      </w:r>
      <w:r>
        <w:rPr>
          <w:rFonts w:hint="eastAsia" w:ascii="仿宋_GB2312" w:hAnsi="仿宋_GB2312" w:eastAsia="仿宋_GB2312" w:cs="仿宋_GB2312"/>
          <w:sz w:val="32"/>
          <w:szCs w:val="32"/>
          <w:lang w:val="en-US" w:eastAsia="zh-CN"/>
        </w:rPr>
        <w:t>12</w:t>
      </w:r>
      <w:r>
        <w:rPr>
          <w:rFonts w:ascii="仿宋_GB2312" w:hAnsi="仿宋_GB2312" w:eastAsia="仿宋_GB2312" w:cs="仿宋_GB2312"/>
          <w:sz w:val="32"/>
          <w:szCs w:val="32"/>
        </w:rPr>
        <w:t>个</w:t>
      </w:r>
      <w:r>
        <w:rPr>
          <w:rFonts w:hint="eastAsia" w:ascii="仿宋_GB2312" w:hAnsi="仿宋_GB2312" w:eastAsia="仿宋_GB2312" w:cs="仿宋_GB2312"/>
          <w:sz w:val="32"/>
          <w:szCs w:val="32"/>
        </w:rPr>
        <w:t>，其中</w:t>
      </w:r>
      <w:r>
        <w:rPr>
          <w:rFonts w:ascii="仿宋_GB2312" w:hAnsi="仿宋_GB2312" w:eastAsia="仿宋_GB2312" w:cs="仿宋_GB2312"/>
          <w:sz w:val="32"/>
          <w:szCs w:val="32"/>
        </w:rPr>
        <w:t>已完成三级指标</w:t>
      </w:r>
      <w:r>
        <w:rPr>
          <w:rFonts w:hint="eastAsia" w:ascii="仿宋_GB2312" w:hAnsi="仿宋_GB2312" w:eastAsia="仿宋_GB2312" w:cs="仿宋_GB2312"/>
          <w:sz w:val="32"/>
          <w:szCs w:val="32"/>
          <w:lang w:val="en-US" w:eastAsia="zh-CN"/>
        </w:rPr>
        <w:t>0</w:t>
      </w:r>
      <w:r>
        <w:rPr>
          <w:rFonts w:ascii="仿宋_GB2312" w:hAnsi="仿宋_GB2312" w:eastAsia="仿宋_GB2312" w:cs="仿宋_GB2312"/>
          <w:sz w:val="32"/>
          <w:szCs w:val="32"/>
        </w:rPr>
        <w:t>个</w:t>
      </w:r>
      <w:r>
        <w:rPr>
          <w:rFonts w:hint="eastAsia" w:ascii="仿宋_GB2312" w:hAnsi="仿宋_GB2312" w:eastAsia="仿宋_GB2312" w:cs="仿宋_GB2312"/>
          <w:sz w:val="32"/>
          <w:szCs w:val="32"/>
        </w:rPr>
        <w:t>，指标完成率为0%。</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由于农广校没有教师，无法开展新型农民培训工作</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该项目将继续履行项目规定，做好档案的后期管理和保管工作，以备随时查阅</w:t>
      </w:r>
      <w:r>
        <w:rPr>
          <w:rFonts w:ascii="仿宋" w:hAnsi="仿宋" w:eastAsia="仿宋"/>
          <w:bCs/>
          <w:spacing w:val="-4"/>
          <w:sz w:val="32"/>
          <w:szCs w:val="32"/>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1、主要经验及做法：无。</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r>
        <w:rPr>
          <w:rFonts w:ascii="仿宋_GB2312" w:hAnsi="仿宋_GB2312" w:eastAsia="仿宋_GB2312" w:cs="仿宋_GB2312"/>
          <w:b w:val="0"/>
          <w:color w:val="auto"/>
          <w:sz w:val="32"/>
          <w:u w:val="none"/>
        </w:rPr>
        <w:t>因项目为跨年项目，资金支付进度未完成，对预算工作缺乏认识，仍需继续加强预算管理（单位全体教职工）</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ascii="仿宋" w:hAnsi="仿宋" w:eastAsia="仿宋"/>
          <w:bCs/>
          <w:spacing w:val="-4"/>
          <w:sz w:val="32"/>
          <w:szCs w:val="32"/>
        </w:rPr>
      </w:pPr>
      <w:r>
        <w:rPr>
          <w:rFonts w:hint="eastAsia" w:ascii="仿宋" w:hAnsi="仿宋" w:eastAsia="仿宋"/>
          <w:bCs/>
          <w:spacing w:val="-4"/>
          <w:sz w:val="32"/>
          <w:szCs w:val="32"/>
        </w:rPr>
        <w:t>3、建议：</w:t>
      </w:r>
      <w:r>
        <w:rPr>
          <w:rFonts w:ascii="仿宋_GB2312" w:hAnsi="仿宋_GB2312" w:eastAsia="仿宋_GB2312" w:cs="仿宋_GB2312"/>
          <w:b w:val="0"/>
          <w:color w:val="auto"/>
          <w:sz w:val="32"/>
          <w:u w:val="none"/>
        </w:rPr>
        <w:t>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auto"/>
          <w:sz w:val="32"/>
          <w:u w:val="none"/>
          <w:lang w:eastAsia="zh-CN"/>
        </w:rPr>
        <w:t>。</w:t>
      </w:r>
      <w:bookmarkStart w:id="0" w:name="_GoBack"/>
      <w:bookmarkEnd w:id="0"/>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次评价通过文件研读、实地调研、数据分析等方式，全面了解基层农技推广建设与服务补助项目资金的使用效率和效果，项目管理过程是否规范，是否完成了预期绩效目标等。同时，通过开展自我评价来总结经验和教训，为喀什地区基层农技推广建设与服务补助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60B0"/>
    <w:rsid w:val="000A20BE"/>
    <w:rsid w:val="0012208E"/>
    <w:rsid w:val="00135256"/>
    <w:rsid w:val="001A4E1F"/>
    <w:rsid w:val="001A57B9"/>
    <w:rsid w:val="001C3847"/>
    <w:rsid w:val="001F3031"/>
    <w:rsid w:val="00210A26"/>
    <w:rsid w:val="002401D5"/>
    <w:rsid w:val="002A2532"/>
    <w:rsid w:val="002A2D76"/>
    <w:rsid w:val="003263CC"/>
    <w:rsid w:val="00365250"/>
    <w:rsid w:val="00365EBC"/>
    <w:rsid w:val="0036624C"/>
    <w:rsid w:val="00371334"/>
    <w:rsid w:val="00385849"/>
    <w:rsid w:val="00405FD3"/>
    <w:rsid w:val="004507BD"/>
    <w:rsid w:val="00491FB5"/>
    <w:rsid w:val="0050167F"/>
    <w:rsid w:val="00514506"/>
    <w:rsid w:val="005162F1"/>
    <w:rsid w:val="00516E80"/>
    <w:rsid w:val="00535153"/>
    <w:rsid w:val="00575CFE"/>
    <w:rsid w:val="00583AFC"/>
    <w:rsid w:val="00583C0F"/>
    <w:rsid w:val="00592D09"/>
    <w:rsid w:val="00596D52"/>
    <w:rsid w:val="005A7577"/>
    <w:rsid w:val="00675D58"/>
    <w:rsid w:val="006C4312"/>
    <w:rsid w:val="006D7F1A"/>
    <w:rsid w:val="006F2E6D"/>
    <w:rsid w:val="006F6087"/>
    <w:rsid w:val="007218B8"/>
    <w:rsid w:val="00755C6A"/>
    <w:rsid w:val="00785FDE"/>
    <w:rsid w:val="007A0351"/>
    <w:rsid w:val="007A14BC"/>
    <w:rsid w:val="007A3AB5"/>
    <w:rsid w:val="007C1025"/>
    <w:rsid w:val="007E6845"/>
    <w:rsid w:val="007F5F8A"/>
    <w:rsid w:val="00826CA1"/>
    <w:rsid w:val="008313B7"/>
    <w:rsid w:val="00835B7F"/>
    <w:rsid w:val="0084482D"/>
    <w:rsid w:val="00854C81"/>
    <w:rsid w:val="00855E3A"/>
    <w:rsid w:val="008B38DD"/>
    <w:rsid w:val="00922CB9"/>
    <w:rsid w:val="009350F7"/>
    <w:rsid w:val="009371D7"/>
    <w:rsid w:val="009B526F"/>
    <w:rsid w:val="009C1AFD"/>
    <w:rsid w:val="00A26421"/>
    <w:rsid w:val="00A4293B"/>
    <w:rsid w:val="00A51885"/>
    <w:rsid w:val="00A83BD5"/>
    <w:rsid w:val="00A977DF"/>
    <w:rsid w:val="00AA130B"/>
    <w:rsid w:val="00AC0E78"/>
    <w:rsid w:val="00AE6A23"/>
    <w:rsid w:val="00B02428"/>
    <w:rsid w:val="00B06CA5"/>
    <w:rsid w:val="00B41F61"/>
    <w:rsid w:val="00B53198"/>
    <w:rsid w:val="00B55332"/>
    <w:rsid w:val="00B712B1"/>
    <w:rsid w:val="00B86E8C"/>
    <w:rsid w:val="00B95A0F"/>
    <w:rsid w:val="00BE1A00"/>
    <w:rsid w:val="00C14D45"/>
    <w:rsid w:val="00C22CF0"/>
    <w:rsid w:val="00C56C72"/>
    <w:rsid w:val="00CA6457"/>
    <w:rsid w:val="00CC6E4D"/>
    <w:rsid w:val="00D17AEE"/>
    <w:rsid w:val="00D17F2E"/>
    <w:rsid w:val="00D46194"/>
    <w:rsid w:val="00D956F9"/>
    <w:rsid w:val="00DD684B"/>
    <w:rsid w:val="00E01293"/>
    <w:rsid w:val="00E027D1"/>
    <w:rsid w:val="00E769FE"/>
    <w:rsid w:val="00E80E0C"/>
    <w:rsid w:val="00EA2CBE"/>
    <w:rsid w:val="00EB58AD"/>
    <w:rsid w:val="00F06303"/>
    <w:rsid w:val="00F32FEE"/>
    <w:rsid w:val="00F53E69"/>
    <w:rsid w:val="00FA5D8C"/>
    <w:rsid w:val="212B5FC6"/>
    <w:rsid w:val="2CB65423"/>
    <w:rsid w:val="2F891EB4"/>
    <w:rsid w:val="31FC490E"/>
    <w:rsid w:val="4D196EBF"/>
    <w:rsid w:val="5DE86A81"/>
    <w:rsid w:val="65816AF9"/>
    <w:rsid w:val="7B722D80"/>
    <w:rsid w:val="7E1D48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uiPriority w:val="99"/>
    <w:rPr>
      <w:rFonts w:ascii="宋体" w:hAnsi="Times New Roman" w:eastAsia="宋体"/>
      <w:kern w:val="2"/>
      <w:sz w:val="18"/>
      <w:szCs w:val="18"/>
    </w:rPr>
  </w:style>
  <w:style w:type="character" w:customStyle="1" w:styleId="47">
    <w:name w:val="批注框文本 Char"/>
    <w:basedOn w:val="18"/>
    <w:link w:val="12"/>
    <w:semiHidden/>
    <w:uiPriority w:val="99"/>
    <w:rPr>
      <w:rFonts w:ascii="Times New Roman" w:hAnsi="Times New Roman" w:eastAsia="宋体"/>
      <w:kern w:val="2"/>
      <w:sz w:val="18"/>
      <w:szCs w:val="18"/>
    </w:rPr>
  </w:style>
  <w:style w:type="paragraph" w:customStyle="1" w:styleId="48">
    <w:name w:val="正文 A"/>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265</Words>
  <Characters>1511</Characters>
  <Lines>12</Lines>
  <Paragraphs>3</Paragraphs>
  <TotalTime>0</TotalTime>
  <ScaleCrop>false</ScaleCrop>
  <LinksUpToDate>false</LinksUpToDate>
  <CharactersWithSpaces>1773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cp:lastModifiedBy>
  <cp:lastPrinted>2018-12-17T10:15:00Z</cp:lastPrinted>
  <dcterms:modified xsi:type="dcterms:W3CDTF">2020-04-05T05:07:06Z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