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2017年防灾减灾补助项目</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泽普县农业技术推广中心</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泽普县农业局</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逯宝东</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zh-TW"/>
        </w:rPr>
        <w:t>26</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w:t>
      </w:r>
      <w:r>
        <w:rPr>
          <w:rStyle w:val="19"/>
          <w:rFonts w:hint="eastAsia" w:ascii="黑体" w:hAnsi="黑体" w:eastAsia="黑体" w:cs="Times New Roman"/>
          <w:b w:val="0"/>
          <w:color w:val="auto"/>
          <w:spacing w:val="-4"/>
          <w:kern w:val="2"/>
          <w:sz w:val="32"/>
          <w:szCs w:val="32"/>
          <w:lang w:val="en-US" w:eastAsia="zh-CN" w:bidi="ar-SA"/>
        </w:rPr>
        <w:t>、项目概况</w:t>
      </w:r>
    </w:p>
    <w:p>
      <w:pPr>
        <w:spacing w:line="540" w:lineRule="exact"/>
        <w:ind w:firstLine="567"/>
        <w:rPr>
          <w:rStyle w:val="19"/>
          <w:rFonts w:hint="eastAsia" w:ascii="楷体" w:hAnsi="楷体" w:eastAsia="楷体" w:cs="Times New Roman"/>
          <w:spacing w:val="-4"/>
          <w:sz w:val="32"/>
          <w:szCs w:val="32"/>
        </w:rPr>
      </w:pPr>
      <w:r>
        <w:rPr>
          <w:rStyle w:val="19"/>
          <w:rFonts w:hint="eastAsia" w:ascii="楷体" w:hAnsi="楷体" w:eastAsia="楷体" w:cs="Times New Roman"/>
          <w:spacing w:val="-4"/>
          <w:sz w:val="32"/>
          <w:szCs w:val="32"/>
        </w:rPr>
        <w:t>（一）项目单位基本情况</w:t>
      </w:r>
    </w:p>
    <w:p>
      <w:pPr>
        <w:widowControl/>
        <w:ind w:firstLine="720" w:firstLineChars="200"/>
        <w:jc w:val="left"/>
        <w:rPr>
          <w:rFonts w:hint="eastAsia" w:ascii="仿宋" w:hAnsi="仿宋" w:eastAsia="仿宋" w:cs="仿宋"/>
          <w:kern w:val="0"/>
          <w:sz w:val="36"/>
          <w:szCs w:val="36"/>
        </w:rPr>
      </w:pPr>
      <w:r>
        <w:rPr>
          <w:rFonts w:hint="eastAsia" w:ascii="仿宋" w:hAnsi="仿宋" w:eastAsia="仿宋" w:cs="仿宋"/>
          <w:kern w:val="0"/>
          <w:sz w:val="36"/>
          <w:szCs w:val="36"/>
        </w:rPr>
        <w:t>承担着参与制定全县农村经济工作发展规划，并将农业科研成果及使用技术应用于农业生产；</w:t>
      </w:r>
    </w:p>
    <w:p>
      <w:pPr>
        <w:widowControl/>
        <w:ind w:firstLine="720" w:firstLineChars="200"/>
        <w:jc w:val="left"/>
        <w:rPr>
          <w:rFonts w:hint="eastAsia" w:ascii="仿宋" w:hAnsi="仿宋" w:eastAsia="仿宋" w:cs="仿宋"/>
          <w:kern w:val="0"/>
          <w:sz w:val="36"/>
          <w:szCs w:val="36"/>
        </w:rPr>
      </w:pPr>
      <w:r>
        <w:rPr>
          <w:rFonts w:hint="eastAsia" w:ascii="仿宋" w:hAnsi="仿宋" w:eastAsia="仿宋" w:cs="仿宋"/>
          <w:kern w:val="0"/>
          <w:sz w:val="36"/>
          <w:szCs w:val="36"/>
        </w:rPr>
        <w:t>组织全县农业技术的专业培训，提高科技在农业生产中的含量；指导全县农业生产技术应用、各种作物病虫害预测预报及综合防治，植物病虫检疫，土壤肥力监测及制定配方施肥方案，提供农业技术信息服务；</w:t>
      </w:r>
    </w:p>
    <w:p>
      <w:pPr>
        <w:spacing w:line="540" w:lineRule="exact"/>
        <w:ind w:firstLine="567"/>
        <w:rPr>
          <w:rStyle w:val="19"/>
          <w:rFonts w:hint="eastAsia" w:ascii="楷体" w:hAnsi="楷体" w:eastAsia="楷体" w:cs="Times New Roman"/>
          <w:spacing w:val="-4"/>
          <w:sz w:val="32"/>
          <w:szCs w:val="32"/>
        </w:rPr>
      </w:pPr>
      <w:r>
        <w:rPr>
          <w:rFonts w:hint="eastAsia" w:ascii="仿宋" w:hAnsi="仿宋" w:eastAsia="仿宋" w:cs="仿宋"/>
          <w:kern w:val="0"/>
          <w:sz w:val="36"/>
          <w:szCs w:val="36"/>
        </w:rPr>
        <w:t>对作物新品种、栽培新技术、新农药及肥料进行试验、示范、推广，为农业生产持续健康发展提供可靠依据</w:t>
      </w:r>
      <w:r>
        <w:rPr>
          <w:rStyle w:val="19"/>
          <w:rFonts w:hint="eastAsia" w:ascii="楷体" w:hAnsi="楷体" w:eastAsia="楷体" w:cs="Times New Roman"/>
          <w:spacing w:val="-4"/>
          <w:sz w:val="32"/>
          <w:szCs w:val="32"/>
        </w:rPr>
        <w:t>。</w:t>
      </w:r>
    </w:p>
    <w:p>
      <w:pPr>
        <w:spacing w:line="540" w:lineRule="exact"/>
        <w:ind w:firstLine="567"/>
        <w:rPr>
          <w:rStyle w:val="19"/>
          <w:rFonts w:hint="eastAsia" w:ascii="楷体" w:hAnsi="楷体" w:eastAsia="楷体" w:cs="Times New Roman"/>
          <w:spacing w:val="-4"/>
          <w:sz w:val="32"/>
          <w:szCs w:val="32"/>
        </w:rPr>
      </w:pPr>
      <w:r>
        <w:rPr>
          <w:rStyle w:val="19"/>
          <w:rFonts w:hint="eastAsia" w:ascii="楷体" w:hAnsi="楷体" w:eastAsia="楷体" w:cs="Times New Roman"/>
          <w:spacing w:val="-4"/>
          <w:sz w:val="32"/>
          <w:szCs w:val="32"/>
        </w:rPr>
        <w:t>（二）</w:t>
      </w:r>
      <w:bookmarkStart w:id="0" w:name="_GoBack"/>
      <w:r>
        <w:rPr>
          <w:rStyle w:val="19"/>
          <w:rFonts w:hint="eastAsia" w:ascii="楷体" w:hAnsi="楷体" w:eastAsia="楷体" w:cs="Times New Roman"/>
          <w:spacing w:val="-4"/>
          <w:sz w:val="32"/>
          <w:szCs w:val="32"/>
        </w:rPr>
        <w:t>项目预算绩效目标设定情况</w:t>
      </w:r>
    </w:p>
    <w:bookmarkEnd w:id="0"/>
    <w:p>
      <w:pPr>
        <w:spacing w:line="540" w:lineRule="exact"/>
        <w:ind w:firstLine="567" w:firstLineChars="181"/>
        <w:rPr>
          <w:rStyle w:val="19"/>
          <w:rFonts w:hint="eastAsia" w:ascii="楷体" w:hAnsi="楷体" w:eastAsia="楷体" w:cs="Times New Roman"/>
          <w:spacing w:val="-4"/>
          <w:sz w:val="32"/>
          <w:szCs w:val="32"/>
        </w:rPr>
      </w:pPr>
      <w:r>
        <w:rPr>
          <w:rStyle w:val="19"/>
          <w:rFonts w:hint="eastAsia" w:ascii="楷体" w:hAnsi="楷体" w:eastAsia="楷体" w:cs="Times New Roman"/>
          <w:spacing w:val="-4"/>
          <w:sz w:val="32"/>
          <w:szCs w:val="32"/>
        </w:rPr>
        <w:t>1、项目预期目标及阶段性目标</w:t>
      </w:r>
    </w:p>
    <w:p>
      <w:pPr>
        <w:widowControl/>
        <w:ind w:firstLine="720" w:firstLineChars="200"/>
        <w:jc w:val="left"/>
        <w:rPr>
          <w:rFonts w:hint="eastAsia" w:ascii="仿宋" w:hAnsi="仿宋" w:eastAsia="仿宋" w:cs="仿宋"/>
          <w:kern w:val="0"/>
          <w:sz w:val="36"/>
          <w:szCs w:val="36"/>
        </w:rPr>
      </w:pPr>
      <w:r>
        <w:rPr>
          <w:rFonts w:hint="eastAsia" w:ascii="仿宋" w:hAnsi="仿宋" w:eastAsia="仿宋" w:cs="仿宋"/>
          <w:kern w:val="0"/>
          <w:sz w:val="36"/>
          <w:szCs w:val="36"/>
        </w:rPr>
        <w:t>专款专用，用于农作物病虫害防治补助，利用该项目资金购买农药、机动喷雾器、专业技术人员学习先进技术参加培训产生的差旅费、培训费等，防止病虫害对全县农作物的侵蚀，提高农作物产量，使农民增收。</w:t>
      </w:r>
    </w:p>
    <w:p>
      <w:pPr>
        <w:spacing w:line="540" w:lineRule="exact"/>
        <w:ind w:firstLine="567" w:firstLineChars="181"/>
        <w:rPr>
          <w:rStyle w:val="19"/>
          <w:rFonts w:hint="eastAsia" w:ascii="楷体" w:hAnsi="楷体" w:eastAsia="楷体" w:cs="Times New Roman"/>
          <w:spacing w:val="-4"/>
          <w:sz w:val="32"/>
          <w:szCs w:val="32"/>
        </w:rPr>
      </w:pPr>
      <w:r>
        <w:rPr>
          <w:rStyle w:val="19"/>
          <w:rFonts w:hint="eastAsia" w:ascii="楷体" w:hAnsi="楷体" w:eastAsia="楷体" w:cs="Times New Roman"/>
          <w:spacing w:val="-4"/>
          <w:sz w:val="32"/>
          <w:szCs w:val="32"/>
        </w:rPr>
        <w:t>2、</w:t>
      </w:r>
      <w:r>
        <w:rPr>
          <w:rStyle w:val="19"/>
          <w:rFonts w:hint="eastAsia" w:ascii="楷体" w:hAnsi="楷体" w:eastAsia="楷体" w:cs="Times New Roman"/>
          <w:spacing w:val="-4"/>
          <w:sz w:val="32"/>
          <w:szCs w:val="32"/>
        </w:rPr>
        <w:t>项目基本性质</w:t>
      </w:r>
    </w:p>
    <w:p>
      <w:pPr>
        <w:widowControl/>
        <w:ind w:firstLine="720" w:firstLineChars="200"/>
        <w:jc w:val="left"/>
        <w:rPr>
          <w:rFonts w:hint="eastAsia" w:ascii="仿宋" w:hAnsi="仿宋" w:eastAsia="仿宋" w:cs="仿宋"/>
          <w:kern w:val="0"/>
          <w:sz w:val="36"/>
          <w:szCs w:val="36"/>
        </w:rPr>
      </w:pPr>
      <w:r>
        <w:rPr>
          <w:rFonts w:hint="eastAsia" w:ascii="仿宋" w:hAnsi="仿宋" w:eastAsia="仿宋" w:cs="仿宋"/>
          <w:kern w:val="0"/>
          <w:sz w:val="36"/>
          <w:szCs w:val="36"/>
        </w:rPr>
        <w:t>本项目性质为延续项目。</w:t>
      </w:r>
    </w:p>
    <w:p>
      <w:pPr>
        <w:spacing w:line="540" w:lineRule="exact"/>
        <w:ind w:firstLine="567" w:firstLineChars="181"/>
        <w:rPr>
          <w:rStyle w:val="19"/>
          <w:rFonts w:hint="eastAsia" w:ascii="楷体" w:hAnsi="楷体" w:eastAsia="楷体" w:cs="Times New Roman"/>
          <w:spacing w:val="-4"/>
          <w:sz w:val="32"/>
          <w:szCs w:val="32"/>
        </w:rPr>
      </w:pPr>
      <w:r>
        <w:rPr>
          <w:rStyle w:val="19"/>
          <w:rFonts w:hint="eastAsia" w:ascii="楷体" w:hAnsi="楷体" w:eastAsia="楷体" w:cs="Times New Roman"/>
          <w:spacing w:val="-4"/>
          <w:sz w:val="32"/>
          <w:szCs w:val="32"/>
        </w:rPr>
        <w:t>3、项目用途及范围</w:t>
      </w:r>
    </w:p>
    <w:p>
      <w:pPr>
        <w:adjustRightInd w:val="0"/>
        <w:snapToGrid w:val="0"/>
        <w:spacing w:line="560" w:lineRule="exact"/>
        <w:ind w:firstLine="720" w:firstLineChars="200"/>
        <w:rPr>
          <w:rFonts w:hint="eastAsia" w:ascii="仿宋" w:hAnsi="仿宋" w:eastAsia="仿宋" w:cs="仿宋"/>
          <w:kern w:val="0"/>
          <w:sz w:val="36"/>
          <w:szCs w:val="36"/>
        </w:rPr>
      </w:pPr>
      <w:r>
        <w:rPr>
          <w:rFonts w:hint="eastAsia" w:ascii="仿宋" w:hAnsi="仿宋" w:eastAsia="仿宋" w:cs="仿宋"/>
          <w:kern w:val="0"/>
          <w:sz w:val="36"/>
          <w:szCs w:val="36"/>
        </w:rPr>
        <w:t>本项目用于农作物病虫害防治补助，如购买农药、机动喷雾器、专业技术人员学习先进技术参加培训产生的差旅费、培训费等。</w:t>
      </w:r>
    </w:p>
    <w:p>
      <w:pPr>
        <w:adjustRightInd w:val="0"/>
        <w:snapToGrid w:val="0"/>
        <w:spacing w:line="560" w:lineRule="exact"/>
        <w:ind w:firstLine="624" w:firstLineChars="200"/>
        <w:outlineLvl w:val="0"/>
        <w:rPr>
          <w:rStyle w:val="19"/>
          <w:rFonts w:hint="eastAsia" w:ascii="黑体" w:hAnsi="黑体" w:eastAsia="黑体" w:cs="Times New Roman"/>
          <w:b w:val="0"/>
          <w:color w:val="auto"/>
          <w:spacing w:val="-4"/>
          <w:kern w:val="2"/>
          <w:sz w:val="32"/>
          <w:szCs w:val="32"/>
          <w:u w:color="000000"/>
          <w:lang w:val="en-US" w:eastAsia="zh-CN" w:bidi="ar-SA"/>
        </w:rPr>
      </w:pPr>
      <w:r>
        <w:rPr>
          <w:rStyle w:val="19"/>
          <w:rFonts w:hint="eastAsia" w:ascii="黑体" w:hAnsi="黑体" w:eastAsia="黑体" w:cs="Times New Roman"/>
          <w:b w:val="0"/>
          <w:color w:val="auto"/>
          <w:spacing w:val="-4"/>
          <w:kern w:val="2"/>
          <w:sz w:val="32"/>
          <w:szCs w:val="32"/>
          <w:u w:color="000000"/>
          <w:lang w:val="en-US" w:eastAsia="zh-CN" w:bidi="ar-SA"/>
        </w:rPr>
        <w:t>二、项目资金使用及管理情况</w:t>
      </w:r>
    </w:p>
    <w:p>
      <w:pPr>
        <w:spacing w:line="540" w:lineRule="exact"/>
        <w:ind w:firstLine="567" w:firstLineChars="181"/>
        <w:rPr>
          <w:rStyle w:val="19"/>
          <w:rFonts w:hint="eastAsia" w:ascii="黑体" w:hAnsi="黑体" w:eastAsia="黑体" w:cs="Times New Roman"/>
          <w:b w:val="0"/>
          <w:color w:val="auto"/>
          <w:spacing w:val="-4"/>
          <w:kern w:val="2"/>
          <w:sz w:val="32"/>
          <w:szCs w:val="32"/>
          <w:u w:color="000000"/>
          <w:lang w:val="en-US" w:eastAsia="zh-CN" w:bidi="ar-SA"/>
        </w:rPr>
      </w:pPr>
      <w:r>
        <w:rPr>
          <w:rStyle w:val="19"/>
          <w:rFonts w:hint="eastAsia" w:ascii="楷体" w:hAnsi="楷体" w:eastAsia="楷体" w:cs="Times New Roman"/>
          <w:spacing w:val="-4"/>
          <w:sz w:val="32"/>
          <w:szCs w:val="32"/>
        </w:rPr>
        <w:t>（一）</w:t>
      </w:r>
      <w:r>
        <w:rPr>
          <w:rStyle w:val="19"/>
          <w:rFonts w:hint="eastAsia" w:ascii="黑体" w:hAnsi="黑体" w:eastAsia="黑体" w:cs="Times New Roman"/>
          <w:b w:val="0"/>
          <w:color w:val="auto"/>
          <w:spacing w:val="-4"/>
          <w:kern w:val="2"/>
          <w:sz w:val="32"/>
          <w:szCs w:val="32"/>
          <w:u w:color="000000"/>
          <w:lang w:val="en-US" w:eastAsia="zh-CN" w:bidi="ar-SA"/>
        </w:rPr>
        <w:t>项目资金安排落实、总投入等情况分析</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2017年防灾减灾项目预算安排总额为5万元，其中财政资金5万元，自筹资金0万元，2018年实际收到结转结余资金5万元。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w:t>
      </w:r>
      <w:r>
        <w:rPr>
          <w:rStyle w:val="19"/>
          <w:rFonts w:hint="eastAsia" w:ascii="楷体" w:hAnsi="楷体" w:eastAsia="楷体" w:cs="Times New Roman"/>
          <w:spacing w:val="-4"/>
          <w:sz w:val="32"/>
          <w:szCs w:val="32"/>
        </w:rPr>
        <w:t>二）项目资金实际使用情况分析</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本项目实际支付资金1.05万元，预算执行率80%，结转资金结余资金3.95万元。由于项目正在实施，所以尚未支付完成。</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该项目已制定或具有相应的项目资金管理办法；项目资金管理办法完全符合国家财经法规和财务管理制度以及有关资金管理办法的规定；资金的拨付有完整的审批程序和手续；不存在截留、挤占、挪用、虚列支出等情况。</w:t>
      </w:r>
    </w:p>
    <w:p>
      <w:pPr>
        <w:adjustRightInd w:val="0"/>
        <w:snapToGrid w:val="0"/>
        <w:spacing w:line="560" w:lineRule="exact"/>
        <w:ind w:firstLine="624" w:firstLineChars="200"/>
        <w:outlineLvl w:val="0"/>
        <w:rPr>
          <w:rStyle w:val="19"/>
          <w:rFonts w:hint="eastAsia" w:ascii="黑体" w:hAnsi="黑体" w:eastAsia="黑体" w:cs="Times New Roman"/>
          <w:b w:val="0"/>
          <w:color w:val="auto"/>
          <w:spacing w:val="-4"/>
          <w:kern w:val="2"/>
          <w:sz w:val="32"/>
          <w:szCs w:val="32"/>
          <w:u w:color="000000"/>
          <w:lang w:val="en-US" w:eastAsia="zh-CN" w:bidi="ar-SA"/>
        </w:rPr>
      </w:pPr>
      <w:r>
        <w:rPr>
          <w:rStyle w:val="19"/>
          <w:rFonts w:hint="eastAsia" w:ascii="黑体" w:hAnsi="黑体" w:eastAsia="黑体" w:cs="Times New Roman"/>
          <w:b w:val="0"/>
          <w:color w:val="auto"/>
          <w:spacing w:val="-4"/>
          <w:kern w:val="2"/>
          <w:sz w:val="32"/>
          <w:szCs w:val="32"/>
          <w:u w:color="000000"/>
          <w:lang w:val="en-US" w:eastAsia="zh-CN" w:bidi="ar-SA"/>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本项目不存在调整情况。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项目实施过程中，我单位建立了《建设项目资金实施办法》保障项目的顺利实施。项目的实施遵守相关法律法规和业务管理规定，项目资料齐全并及时归档。已建立《建设项目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hint="eastAsia" w:ascii="黑体" w:hAnsi="黑体" w:eastAsia="黑体" w:cs="Times New Roman"/>
          <w:b w:val="0"/>
          <w:color w:val="auto"/>
          <w:spacing w:val="-4"/>
          <w:kern w:val="2"/>
          <w:sz w:val="32"/>
          <w:szCs w:val="32"/>
          <w:u w:color="000000"/>
          <w:lang w:val="en-US" w:eastAsia="zh-CN" w:bidi="ar-SA"/>
        </w:rPr>
      </w:pPr>
      <w:r>
        <w:rPr>
          <w:rStyle w:val="19"/>
          <w:rFonts w:hint="eastAsia" w:ascii="黑体" w:hAnsi="黑体" w:eastAsia="黑体" w:cs="Times New Roman"/>
          <w:b w:val="0"/>
          <w:color w:val="auto"/>
          <w:spacing w:val="-4"/>
          <w:kern w:val="2"/>
          <w:sz w:val="32"/>
          <w:szCs w:val="32"/>
          <w:u w:color="000000"/>
          <w:lang w:val="en-US" w:eastAsia="zh-CN" w:bidi="ar-SA"/>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本项目共设置一级指标2个，二级指标5个，三级指标3个，其中已完成三级指标3个，指标完成率为100%。</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对该项目的预期目标基本已全部实现，由于项目资金拨付时间较晚，所以该资金尚未支付。</w:t>
      </w:r>
    </w:p>
    <w:p>
      <w:pPr>
        <w:adjustRightInd w:val="0"/>
        <w:snapToGrid w:val="0"/>
        <w:spacing w:line="560" w:lineRule="exact"/>
        <w:ind w:firstLine="624" w:firstLineChars="200"/>
        <w:outlineLvl w:val="0"/>
        <w:rPr>
          <w:rStyle w:val="19"/>
          <w:rFonts w:hint="eastAsia" w:ascii="黑体" w:hAnsi="黑体" w:eastAsia="黑体" w:cs="Times New Roman"/>
          <w:b w:val="0"/>
          <w:color w:val="auto"/>
          <w:spacing w:val="-4"/>
          <w:kern w:val="2"/>
          <w:sz w:val="32"/>
          <w:szCs w:val="32"/>
          <w:u w:color="000000"/>
          <w:lang w:val="en-US" w:eastAsia="zh-CN" w:bidi="ar-SA"/>
        </w:rPr>
      </w:pPr>
      <w:r>
        <w:rPr>
          <w:rStyle w:val="19"/>
          <w:rFonts w:hint="eastAsia" w:ascii="黑体" w:hAnsi="黑体" w:eastAsia="黑体" w:cs="Times New Roman"/>
          <w:b w:val="0"/>
          <w:color w:val="auto"/>
          <w:spacing w:val="-4"/>
          <w:kern w:val="2"/>
          <w:sz w:val="32"/>
          <w:szCs w:val="32"/>
          <w:u w:color="000000"/>
          <w:lang w:val="en-US" w:eastAsia="zh-CN" w:bidi="ar-SA"/>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该项目将继续履行项目规定，做好档案的后期管理和保管工作，以备随时查阅。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1、主要经验及做法：无。</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2、存在的问题：无。</w:t>
      </w:r>
    </w:p>
    <w:p>
      <w:pPr>
        <w:pStyle w:val="48"/>
        <w:spacing w:line="700" w:lineRule="exact"/>
        <w:ind w:firstLine="720" w:firstLineChars="200"/>
        <w:jc w:val="left"/>
        <w:rPr>
          <w:rFonts w:hint="eastAsia" w:ascii="仿宋" w:hAnsi="仿宋" w:eastAsia="仿宋" w:cs="仿宋"/>
          <w:color w:val="auto"/>
          <w:kern w:val="0"/>
          <w:sz w:val="36"/>
          <w:szCs w:val="36"/>
          <w:lang w:val="en-US" w:eastAsia="zh-CN" w:bidi="ar-SA"/>
        </w:rPr>
      </w:pPr>
      <w:r>
        <w:rPr>
          <w:rFonts w:hint="eastAsia" w:ascii="仿宋" w:hAnsi="仿宋" w:eastAsia="仿宋" w:cs="仿宋"/>
          <w:color w:val="auto"/>
          <w:kern w:val="0"/>
          <w:sz w:val="36"/>
          <w:szCs w:val="36"/>
          <w:lang w:val="en-US" w:eastAsia="zh-CN" w:bidi="ar-SA"/>
        </w:rPr>
        <w:t>3、建议：无。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720" w:firstLineChars="200"/>
        <w:rPr>
          <w:rFonts w:hint="eastAsia" w:ascii="仿宋" w:hAnsi="仿宋" w:eastAsia="仿宋" w:cs="仿宋"/>
          <w:color w:val="auto"/>
          <w:kern w:val="0"/>
          <w:sz w:val="36"/>
          <w:szCs w:val="36"/>
          <w:u w:color="000000"/>
          <w:lang w:val="en-US" w:eastAsia="zh-CN" w:bidi="ar-SA"/>
        </w:rPr>
      </w:pPr>
      <w:r>
        <w:rPr>
          <w:rFonts w:hint="eastAsia" w:ascii="仿宋" w:hAnsi="仿宋" w:eastAsia="仿宋" w:cs="仿宋"/>
          <w:color w:val="auto"/>
          <w:kern w:val="0"/>
          <w:sz w:val="36"/>
          <w:szCs w:val="36"/>
          <w:u w:color="000000"/>
          <w:lang w:val="en-US" w:eastAsia="zh-CN" w:bidi="ar-SA"/>
        </w:rPr>
        <w:t>无其他说明内容。</w:t>
      </w:r>
    </w:p>
    <w:p>
      <w:pPr>
        <w:adjustRightInd w:val="0"/>
        <w:snapToGrid w:val="0"/>
        <w:spacing w:line="560" w:lineRule="exact"/>
        <w:ind w:firstLine="624" w:firstLineChars="200"/>
        <w:outlineLvl w:val="0"/>
        <w:rPr>
          <w:rStyle w:val="19"/>
          <w:rFonts w:hint="eastAsia" w:ascii="黑体" w:hAnsi="黑体" w:eastAsia="黑体" w:cs="Times New Roman"/>
          <w:b w:val="0"/>
          <w:color w:val="auto"/>
          <w:spacing w:val="-4"/>
          <w:kern w:val="2"/>
          <w:sz w:val="32"/>
          <w:szCs w:val="32"/>
          <w:u w:color="000000"/>
          <w:lang w:val="en-US" w:eastAsia="zh-CN" w:bidi="ar-SA"/>
        </w:rPr>
      </w:pPr>
      <w:r>
        <w:rPr>
          <w:rStyle w:val="19"/>
          <w:rFonts w:hint="eastAsia" w:ascii="黑体" w:hAnsi="黑体" w:eastAsia="黑体" w:cs="Times New Roman"/>
          <w:b w:val="0"/>
          <w:color w:val="auto"/>
          <w:spacing w:val="-4"/>
          <w:kern w:val="2"/>
          <w:sz w:val="32"/>
          <w:szCs w:val="32"/>
          <w:u w:color="000000"/>
          <w:lang w:val="en-US" w:eastAsia="zh-CN" w:bidi="ar-SA"/>
        </w:rPr>
        <w:t>六、项目评价工作情况</w:t>
      </w:r>
    </w:p>
    <w:p>
      <w:pPr>
        <w:adjustRightInd w:val="0"/>
        <w:snapToGrid w:val="0"/>
        <w:spacing w:line="560" w:lineRule="exact"/>
        <w:ind w:firstLine="720" w:firstLineChars="200"/>
        <w:rPr>
          <w:rFonts w:hint="eastAsia" w:ascii="仿宋" w:hAnsi="仿宋" w:eastAsia="仿宋" w:cs="仿宋"/>
          <w:color w:val="auto"/>
          <w:kern w:val="0"/>
          <w:sz w:val="36"/>
          <w:szCs w:val="36"/>
          <w:u w:color="000000"/>
          <w:lang w:val="en-US" w:eastAsia="zh-CN" w:bidi="ar-SA"/>
        </w:rPr>
      </w:pPr>
      <w:r>
        <w:rPr>
          <w:rFonts w:hint="eastAsia" w:ascii="仿宋" w:hAnsi="仿宋" w:eastAsia="仿宋" w:cs="仿宋"/>
          <w:color w:val="auto"/>
          <w:kern w:val="0"/>
          <w:sz w:val="36"/>
          <w:szCs w:val="36"/>
          <w:u w:color="000000"/>
          <w:lang w:val="en-US" w:eastAsia="zh-CN" w:bidi="ar-SA"/>
        </w:rPr>
        <w:t>本次评价通过文件研读、实地调研、数据分析等方式，全面了解2017年项目资金的使用效率和效果，项目管理过程是否规范，是否完成了预期绩效目标等。同时，通过开展自我评价来总结经验和教训，为喀什地区防灾减灾补助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2032"/>
    <w:rsid w:val="000705D8"/>
    <w:rsid w:val="00096292"/>
    <w:rsid w:val="000D5AB5"/>
    <w:rsid w:val="0012208E"/>
    <w:rsid w:val="00135256"/>
    <w:rsid w:val="0014769D"/>
    <w:rsid w:val="00156A04"/>
    <w:rsid w:val="00157D68"/>
    <w:rsid w:val="001A03AC"/>
    <w:rsid w:val="001A4E1F"/>
    <w:rsid w:val="001A57B9"/>
    <w:rsid w:val="001C3847"/>
    <w:rsid w:val="001F3031"/>
    <w:rsid w:val="00210A26"/>
    <w:rsid w:val="002A2532"/>
    <w:rsid w:val="002A2D76"/>
    <w:rsid w:val="00365250"/>
    <w:rsid w:val="0036624C"/>
    <w:rsid w:val="00385849"/>
    <w:rsid w:val="003943CD"/>
    <w:rsid w:val="00491FB5"/>
    <w:rsid w:val="004F40C8"/>
    <w:rsid w:val="0050167F"/>
    <w:rsid w:val="00514506"/>
    <w:rsid w:val="005162F1"/>
    <w:rsid w:val="00516E80"/>
    <w:rsid w:val="00535153"/>
    <w:rsid w:val="00575CFE"/>
    <w:rsid w:val="00583AFC"/>
    <w:rsid w:val="00583C0F"/>
    <w:rsid w:val="00592D09"/>
    <w:rsid w:val="00662355"/>
    <w:rsid w:val="00675D58"/>
    <w:rsid w:val="006C4312"/>
    <w:rsid w:val="006D7F1A"/>
    <w:rsid w:val="006F2E6D"/>
    <w:rsid w:val="007218B8"/>
    <w:rsid w:val="00722E48"/>
    <w:rsid w:val="00755C6A"/>
    <w:rsid w:val="00756FD4"/>
    <w:rsid w:val="00774C8A"/>
    <w:rsid w:val="00785FDE"/>
    <w:rsid w:val="007A0351"/>
    <w:rsid w:val="007A14BC"/>
    <w:rsid w:val="007A3AB5"/>
    <w:rsid w:val="007C1025"/>
    <w:rsid w:val="007E3928"/>
    <w:rsid w:val="007E6845"/>
    <w:rsid w:val="007F5F8A"/>
    <w:rsid w:val="00826CA1"/>
    <w:rsid w:val="00835B7F"/>
    <w:rsid w:val="00855E3A"/>
    <w:rsid w:val="00902CD5"/>
    <w:rsid w:val="00912FE8"/>
    <w:rsid w:val="009136A0"/>
    <w:rsid w:val="00922CB9"/>
    <w:rsid w:val="00934EE2"/>
    <w:rsid w:val="009350F7"/>
    <w:rsid w:val="009371D7"/>
    <w:rsid w:val="009662F2"/>
    <w:rsid w:val="009B526F"/>
    <w:rsid w:val="009C1AFD"/>
    <w:rsid w:val="00A26421"/>
    <w:rsid w:val="00A4293B"/>
    <w:rsid w:val="00A60933"/>
    <w:rsid w:val="00A83BD5"/>
    <w:rsid w:val="00A977DF"/>
    <w:rsid w:val="00AC3184"/>
    <w:rsid w:val="00AE6A23"/>
    <w:rsid w:val="00B06CA5"/>
    <w:rsid w:val="00B41F61"/>
    <w:rsid w:val="00B55332"/>
    <w:rsid w:val="00B712B1"/>
    <w:rsid w:val="00B86E8C"/>
    <w:rsid w:val="00B95A0F"/>
    <w:rsid w:val="00BA0837"/>
    <w:rsid w:val="00BA3FA5"/>
    <w:rsid w:val="00BE1A00"/>
    <w:rsid w:val="00C22CF0"/>
    <w:rsid w:val="00C56C72"/>
    <w:rsid w:val="00CA6457"/>
    <w:rsid w:val="00CC6E4D"/>
    <w:rsid w:val="00D17F2E"/>
    <w:rsid w:val="00D46194"/>
    <w:rsid w:val="00D6116D"/>
    <w:rsid w:val="00D956F9"/>
    <w:rsid w:val="00E01293"/>
    <w:rsid w:val="00E027D1"/>
    <w:rsid w:val="00E53FBB"/>
    <w:rsid w:val="00E55620"/>
    <w:rsid w:val="00E769FE"/>
    <w:rsid w:val="00EA192A"/>
    <w:rsid w:val="00EA2CBE"/>
    <w:rsid w:val="00ED5263"/>
    <w:rsid w:val="00F32FEE"/>
    <w:rsid w:val="00F459F1"/>
    <w:rsid w:val="00F53E69"/>
    <w:rsid w:val="00F8567C"/>
    <w:rsid w:val="00FA5D8C"/>
    <w:rsid w:val="17BE73C2"/>
    <w:rsid w:val="520C5D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uiPriority w:val="9"/>
    <w:rPr>
      <w:rFonts w:asciiTheme="majorHAnsi" w:hAnsiTheme="majorHAnsi" w:eastAsiaTheme="majorEastAsia"/>
      <w:b/>
      <w:bCs/>
      <w:kern w:val="32"/>
      <w:sz w:val="32"/>
      <w:szCs w:val="32"/>
    </w:rPr>
  </w:style>
  <w:style w:type="character" w:customStyle="1" w:styleId="22">
    <w:name w:val="标题 2 Char"/>
    <w:basedOn w:val="18"/>
    <w:link w:val="4"/>
    <w:semiHidden/>
    <w:uiPriority w:val="9"/>
    <w:rPr>
      <w:rFonts w:asciiTheme="majorHAnsi" w:hAnsiTheme="majorHAnsi" w:eastAsiaTheme="majorEastAsia"/>
      <w:b/>
      <w:bCs/>
      <w:i/>
      <w:iCs/>
      <w:sz w:val="28"/>
      <w:szCs w:val="28"/>
    </w:rPr>
  </w:style>
  <w:style w:type="character" w:customStyle="1" w:styleId="23">
    <w:name w:val="标题 3 Char"/>
    <w:basedOn w:val="18"/>
    <w:link w:val="2"/>
    <w:semiHidden/>
    <w:uiPriority w:val="9"/>
    <w:rPr>
      <w:rFonts w:asciiTheme="majorHAnsi" w:hAnsiTheme="majorHAnsi" w:eastAsiaTheme="majorEastAsia"/>
      <w:b/>
      <w:bCs/>
      <w:sz w:val="26"/>
      <w:szCs w:val="26"/>
    </w:rPr>
  </w:style>
  <w:style w:type="character" w:customStyle="1" w:styleId="24">
    <w:name w:val="标题 4 Char"/>
    <w:basedOn w:val="18"/>
    <w:link w:val="5"/>
    <w:semiHidden/>
    <w:uiPriority w:val="9"/>
    <w:rPr>
      <w:b/>
      <w:bCs/>
      <w:sz w:val="28"/>
      <w:szCs w:val="28"/>
    </w:rPr>
  </w:style>
  <w:style w:type="character" w:customStyle="1" w:styleId="25">
    <w:name w:val="标题 5 Char"/>
    <w:basedOn w:val="18"/>
    <w:link w:val="6"/>
    <w:semiHidden/>
    <w:uiPriority w:val="9"/>
    <w:rPr>
      <w:b/>
      <w:bCs/>
      <w:i/>
      <w:iCs/>
      <w:sz w:val="26"/>
      <w:szCs w:val="26"/>
    </w:rPr>
  </w:style>
  <w:style w:type="character" w:customStyle="1" w:styleId="26">
    <w:name w:val="标题 6 Char"/>
    <w:basedOn w:val="18"/>
    <w:link w:val="7"/>
    <w:semiHidden/>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uiPriority w:val="99"/>
    <w:rPr>
      <w:rFonts w:ascii="宋体" w:hAnsi="Times New Roman" w:eastAsia="宋体"/>
      <w:kern w:val="2"/>
      <w:sz w:val="18"/>
      <w:szCs w:val="18"/>
    </w:rPr>
  </w:style>
  <w:style w:type="character" w:customStyle="1" w:styleId="47">
    <w:name w:val="批注框文本 Char"/>
    <w:basedOn w:val="18"/>
    <w:link w:val="12"/>
    <w:semiHidden/>
    <w:uiPriority w:val="99"/>
    <w:rPr>
      <w:rFonts w:ascii="Times New Roman" w:hAnsi="Times New Roman" w:eastAsia="宋体"/>
      <w:kern w:val="2"/>
      <w:sz w:val="18"/>
      <w:szCs w:val="18"/>
    </w:rPr>
  </w:style>
  <w:style w:type="paragraph" w:customStyle="1" w:styleId="48">
    <w:name w:val="正文 A"/>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221</Words>
  <Characters>1261</Characters>
  <Lines>10</Lines>
  <Paragraphs>2</Paragraphs>
  <TotalTime>80</TotalTime>
  <ScaleCrop>false</ScaleCrop>
  <LinksUpToDate>false</LinksUpToDate>
  <CharactersWithSpaces>1480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kadirdin</cp:lastModifiedBy>
  <cp:lastPrinted>2018-12-17T10:15:00Z</cp:lastPrinted>
  <dcterms:modified xsi:type="dcterms:W3CDTF">2019-09-11T08:37:20Z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