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ascii="黑体" w:hAnsi="黑体" w:eastAsia="黑体"/>
          <w:sz w:val="32"/>
          <w:szCs w:val="32"/>
          <w:lang w:eastAsia="zh-CN"/>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2018年度新疆喀什地区泽普县农业技术推广中心部门决算公开说明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第一部分部门单位概况</w:t>
      </w:r>
      <w:bookmarkStart w:id="92" w:name="_GoBack"/>
      <w:bookmarkEnd w:id="92"/>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1、推广种植业技术。</w:t>
      </w:r>
      <w:r>
        <w:rPr>
          <w:rFonts w:hint="eastAsia" w:ascii="仿宋_GB2312" w:eastAsia="仿宋_GB2312"/>
          <w:sz w:val="32"/>
          <w:szCs w:val="32"/>
        </w:rPr>
        <w:br w:type="textWrapping"/>
      </w:r>
      <w:r>
        <w:rPr>
          <w:rFonts w:hint="eastAsia" w:ascii="仿宋_GB2312" w:eastAsia="仿宋_GB2312"/>
          <w:sz w:val="32"/>
          <w:szCs w:val="32"/>
        </w:rPr>
        <w:t>2、促进农业发展。</w:t>
      </w:r>
      <w:r>
        <w:rPr>
          <w:rFonts w:hint="eastAsia" w:ascii="仿宋_GB2312" w:eastAsia="仿宋_GB2312"/>
          <w:sz w:val="32"/>
          <w:szCs w:val="32"/>
        </w:rPr>
        <w:br w:type="textWrapping"/>
      </w:r>
      <w:r>
        <w:rPr>
          <w:rFonts w:hint="eastAsia" w:ascii="仿宋_GB2312" w:eastAsia="仿宋_GB2312"/>
          <w:sz w:val="32"/>
          <w:szCs w:val="32"/>
        </w:rPr>
        <w:t>3、种植业技术试验示范。</w:t>
      </w:r>
      <w:r>
        <w:rPr>
          <w:rFonts w:hint="eastAsia" w:ascii="仿宋_GB2312" w:eastAsia="仿宋_GB2312"/>
          <w:sz w:val="32"/>
          <w:szCs w:val="32"/>
        </w:rPr>
        <w:br w:type="textWrapping"/>
      </w:r>
      <w:r>
        <w:rPr>
          <w:rFonts w:hint="eastAsia" w:ascii="仿宋_GB2312" w:eastAsia="仿宋_GB2312"/>
          <w:sz w:val="32"/>
          <w:szCs w:val="32"/>
        </w:rPr>
        <w:t>4、种植业技术推广体系管理。</w:t>
      </w:r>
      <w:r>
        <w:rPr>
          <w:rFonts w:hint="eastAsia" w:ascii="仿宋_GB2312" w:eastAsia="仿宋_GB2312"/>
          <w:sz w:val="32"/>
          <w:szCs w:val="32"/>
        </w:rPr>
        <w:br w:type="textWrapping"/>
      </w:r>
      <w:r>
        <w:rPr>
          <w:rFonts w:hint="eastAsia" w:ascii="仿宋_GB2312" w:eastAsia="仿宋_GB2312"/>
          <w:sz w:val="32"/>
          <w:szCs w:val="32"/>
        </w:rPr>
        <w:t>5、种植业技术培训。</w:t>
      </w:r>
      <w:r>
        <w:rPr>
          <w:rFonts w:hint="eastAsia" w:ascii="仿宋_GB2312" w:eastAsia="仿宋_GB2312"/>
          <w:sz w:val="32"/>
          <w:szCs w:val="32"/>
        </w:rPr>
        <w:br w:type="textWrapping"/>
      </w:r>
      <w:r>
        <w:rPr>
          <w:rFonts w:hint="eastAsia" w:ascii="仿宋_GB2312" w:eastAsia="仿宋_GB2312"/>
          <w:sz w:val="32"/>
          <w:szCs w:val="32"/>
        </w:rPr>
        <w:t>6、种植业技术服务。</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新疆喀什地区泽普县农业技术推广中心</w:t>
      </w:r>
      <w:r>
        <w:rPr>
          <w:rFonts w:hint="eastAsia" w:ascii="仿宋_GB2312" w:eastAsia="仿宋_GB2312"/>
          <w:sz w:val="32"/>
          <w:szCs w:val="32"/>
        </w:rPr>
        <w:t>部门决算包括：</w:t>
      </w:r>
      <w:r>
        <w:rPr>
          <w:rFonts w:ascii="仿宋_GB2312" w:eastAsia="仿宋_GB2312"/>
          <w:sz w:val="32"/>
          <w:szCs w:val="32"/>
        </w:rPr>
        <w:t>新疆喀什地区泽普县农业技术推广中心</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新疆喀什地区泽普县农业技术推广中心</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新疆喀什地区泽普县农业技术推广中心</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391.94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，与上年相比，减少6.6万元，下降1.66%，减少的主要原因是：</w:t>
      </w:r>
      <w:r>
        <w:rPr>
          <w:rFonts w:hint="eastAsia" w:ascii="仿宋_GB2312" w:eastAsia="仿宋_GB2312"/>
          <w:color w:val="000000" w:themeColor="text1"/>
          <w:sz w:val="32"/>
          <w:szCs w:val="32"/>
        </w:rPr>
        <w:t>本单位2018年无项目资金；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423.33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，与上年相比，增加12.64万元，增长3.08%，增加的主要原因是：</w:t>
      </w:r>
      <w:r>
        <w:rPr>
          <w:rFonts w:hint="eastAsia" w:ascii="仿宋_GB2312" w:eastAsia="仿宋_GB2312"/>
          <w:color w:val="000000" w:themeColor="text1"/>
          <w:sz w:val="32"/>
          <w:szCs w:val="32"/>
        </w:rPr>
        <w:t>人员工资增加，同时加快2017年结转项目支付力度；</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52.84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，与上年相比，减少31.39万元，下降37.27%，减少的主要原因是：</w:t>
      </w:r>
      <w:r>
        <w:rPr>
          <w:rFonts w:ascii="仿宋_GB2312" w:eastAsia="仿宋_GB2312"/>
          <w:color w:val="000000" w:themeColor="text1"/>
          <w:sz w:val="32"/>
          <w:szCs w:val="32"/>
        </w:rPr>
        <w:t>加快2017年结转项目支付力度。</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391.94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391.94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况：本年收入年初预算数269.65万元</w:t>
      </w:r>
      <w:r>
        <w:rPr>
          <w:rFonts w:hint="eastAsia" w:ascii="仿宋_GB2312" w:eastAsia="仿宋_GB2312"/>
          <w:sz w:val="32"/>
          <w:szCs w:val="32"/>
        </w:rPr>
        <w:t>，决算数391.94万元</w:t>
      </w:r>
      <w:r>
        <w:rPr>
          <w:rFonts w:ascii="仿宋_GB2312" w:eastAsia="仿宋_GB2312"/>
          <w:sz w:val="32"/>
          <w:szCs w:val="32"/>
        </w:rPr>
        <w:t>，预决算差异率45.35%，差异主要原因是人员工资增加。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423.33</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391.94</w:t>
      </w:r>
      <w:r>
        <w:rPr>
          <w:rFonts w:hint="eastAsia" w:ascii="仿宋_GB2312" w:eastAsia="仿宋_GB2312"/>
          <w:color w:val="000000" w:themeColor="text1"/>
          <w:sz w:val="32"/>
          <w:szCs w:val="32"/>
        </w:rPr>
        <w:t>万元，占</w:t>
      </w:r>
      <w:r>
        <w:rPr>
          <w:rFonts w:hint="eastAsia" w:ascii="仿宋_GB2312" w:eastAsia="仿宋_GB2312"/>
          <w:sz w:val="32"/>
          <w:szCs w:val="32"/>
        </w:rPr>
        <w:t>92.58%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31.39</w:t>
      </w:r>
      <w:r>
        <w:rPr>
          <w:rFonts w:hint="eastAsia" w:ascii="仿宋_GB2312" w:eastAsia="仿宋_GB2312"/>
          <w:color w:val="000000" w:themeColor="text1"/>
          <w:sz w:val="32"/>
          <w:szCs w:val="32"/>
        </w:rPr>
        <w:t>万元，占</w:t>
      </w:r>
      <w:r>
        <w:rPr>
          <w:rFonts w:hint="eastAsia" w:ascii="仿宋_GB2312" w:eastAsia="仿宋_GB2312"/>
          <w:sz w:val="32"/>
          <w:szCs w:val="32"/>
        </w:rPr>
        <w:t>7.42%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与年初预算数相比情况：本年支出年初预算数269.65万元，</w:t>
      </w:r>
      <w:r>
        <w:rPr>
          <w:rFonts w:hint="eastAsia" w:ascii="仿宋_GB2312" w:eastAsia="仿宋_GB2312"/>
          <w:sz w:val="32"/>
          <w:szCs w:val="32"/>
        </w:rPr>
        <w:t>决算数423.33万元</w:t>
      </w:r>
      <w:r>
        <w:rPr>
          <w:rFonts w:ascii="仿宋_GB2312" w:eastAsia="仿宋_GB2312"/>
          <w:sz w:val="32"/>
          <w:szCs w:val="32"/>
        </w:rPr>
        <w:t>，预决算差异率56.99%，差异主要原因是人员工资增加，同时加快2017年结转项目支付力度。</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391.94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，与上年相比，减少6.6万元，下降1.66%，减少的主要原因是：本单位2018年无项目资金。</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423.33</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，与上年相比，增加12.64万元，增长3.08%，增加的主要原因是：</w:t>
      </w:r>
      <w:r>
        <w:rPr>
          <w:rFonts w:ascii="仿宋_GB2312" w:eastAsia="仿宋_GB2312"/>
          <w:sz w:val="32"/>
          <w:szCs w:val="32"/>
        </w:rPr>
        <w:t>人员工资增加，同时加快2017年结转项目支付力度。</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391.94</w:t>
      </w:r>
      <w:r>
        <w:rPr>
          <w:rFonts w:hint="eastAsia" w:ascii="仿宋_GB2312" w:eastAsia="仿宋_GB2312"/>
          <w:color w:val="000000" w:themeColor="text1"/>
          <w:sz w:val="32"/>
          <w:szCs w:val="32"/>
        </w:rPr>
        <w:t>万元，项目支出</w:t>
      </w:r>
      <w:r>
        <w:rPr>
          <w:rFonts w:hint="eastAsia" w:ascii="仿宋_GB2312" w:eastAsia="仿宋_GB2312"/>
          <w:sz w:val="32"/>
          <w:szCs w:val="32"/>
        </w:rPr>
        <w:t>31.39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52.84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，与上年相比，减少31.39万元，下降37.27%，减少的主要原因是：本单位2018年无项目资金，加快2017年结转项目支付力度。</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269.65</w:t>
      </w:r>
      <w:r>
        <w:rPr>
          <w:rFonts w:hint="eastAsia" w:ascii="仿宋_GB2312" w:eastAsia="仿宋_GB2312"/>
          <w:color w:val="000000" w:themeColor="text1"/>
          <w:sz w:val="32"/>
          <w:szCs w:val="32"/>
        </w:rPr>
        <w:t>万元，决算数</w:t>
      </w:r>
      <w:r>
        <w:rPr>
          <w:rFonts w:hint="eastAsia" w:ascii="仿宋_GB2312" w:eastAsia="仿宋_GB2312"/>
          <w:sz w:val="32"/>
          <w:szCs w:val="32"/>
        </w:rPr>
        <w:t>391.94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，预决算差异率45.35%，差异主要原因是人员工资增加。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269.65</w:t>
      </w:r>
      <w:r>
        <w:rPr>
          <w:rFonts w:hint="eastAsia" w:ascii="仿宋_GB2312" w:eastAsia="仿宋_GB2312"/>
          <w:color w:val="000000" w:themeColor="text1"/>
          <w:sz w:val="32"/>
          <w:szCs w:val="32"/>
        </w:rPr>
        <w:t>万元，决算数</w:t>
      </w:r>
      <w:r>
        <w:rPr>
          <w:rFonts w:hint="eastAsia" w:ascii="仿宋_GB2312" w:eastAsia="仿宋_GB2312"/>
          <w:sz w:val="32"/>
          <w:szCs w:val="32"/>
        </w:rPr>
        <w:t>423.33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，预决算差异率56.99%，差异主要原因是人员工资增加，同时加快2017年结转项目支付力度。</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391.94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，与上年相比，减少6.6万元，下降1.66%，减少的主要原因是：本单位2018年无项目资金。</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423.33</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，与上年相比，增加12.64万元，增长3.08%，增加的主要原因是：人员工资增加，同时加快2017年结转项目支付力度。</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住房保障支出27万元,农林水支出353.16万元,社会保障和就业支出43.17万元。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工资福利支出370.99万元,商品和服务支出36.68万元,对个人和家庭的补助15.66万元。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269.65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391.94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，预决算差异率45.35%，差异主要原因是人员工资增加。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269.65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423.33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，预决算差异率56.99%，差异主要原因是人员工资增加，同时加快2017年结转项目支付力度。</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，与上年相比无变化，主要原因是：2018年度无政府性基金预算财政拨款收入。</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，预决算差异率0%，差异主要原因是2018年度无政府性基金预算财政拨款收入。</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52.84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。与上年相比，减少31.39万元，下降37.27%</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52.84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。与上年相比，减少31.39万元，下降37.27%。</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0.56</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，与上年相比，减少4.69万元，下降89.33%，减少的主要原因是：按照八项规定，缩减开支，减少支出。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0.56</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100%，与上年相比，减少4.69万元，下降89.33%，减少的主要原因是：按照八项规定，缩减开支，减少支出；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0%，与上年相比无变化，主要原因是：本单位无公务接待费支出。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新疆喀什地区泽普县农业技术推广中心</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本单位无因公出国（境）费支出。</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0.56</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0.56</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车辆保险、车辆加油、车辆维修</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2</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本单位无公务接待费支出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新疆喀什地区泽普县农业技术推广中心</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0.56</w:t>
      </w:r>
      <w:r>
        <w:rPr>
          <w:rFonts w:hint="eastAsia" w:ascii="仿宋_GB2312" w:eastAsia="仿宋_GB2312"/>
          <w:color w:val="000000" w:themeColor="text1"/>
          <w:sz w:val="32"/>
          <w:szCs w:val="32"/>
        </w:rPr>
        <w:t>万元，决算数0.56万元</w:t>
      </w:r>
      <w:r>
        <w:rPr>
          <w:rFonts w:ascii="仿宋_GB2312" w:eastAsia="仿宋_GB2312"/>
          <w:color w:val="000000" w:themeColor="text1"/>
          <w:sz w:val="32"/>
          <w:szCs w:val="32"/>
        </w:rPr>
        <w:t>，预决算差异率0%，差异主要原因是按照八项规定，缩减开支，减少支出。</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，预决算差异率0%，差异主要原因是本单位无因公出国（境）费支出；</w:t>
      </w:r>
      <w:bookmarkEnd w:id="81"/>
      <w:bookmarkEnd w:id="82"/>
      <w:bookmarkStart w:id="83" w:name="OLE_LINK89"/>
      <w:bookmarkStart w:id="84" w:name="OLE_LINK88"/>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，预决算差异率0%，差异主要原因是本单位无新增公务用车购置数；</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0.56</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0.56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，预决算差异率0%，差异主要原因是按照八项规定，缩减开支，减少支出；</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本单位无公务接待费支出。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新疆喀什地区泽普县农业技术推广中心日常公用经费5.29万元，与上年相比，减少10.48万元，下降66.46%，减少的主要原因是：按照八项规定，缩减开支，减少支出。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0.75</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0.75</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2</w:t>
      </w:r>
      <w:r>
        <w:rPr>
          <w:rFonts w:hint="eastAsia" w:ascii="仿宋_GB2312" w:eastAsia="仿宋_GB2312"/>
          <w:color w:val="000000" w:themeColor="text1"/>
          <w:sz w:val="32"/>
          <w:szCs w:val="32"/>
        </w:rPr>
        <w:t>辆，价值</w:t>
      </w:r>
      <w:r>
        <w:rPr>
          <w:rFonts w:hint="eastAsia" w:ascii="仿宋_GB2312" w:eastAsia="仿宋_GB2312"/>
          <w:sz w:val="32"/>
          <w:szCs w:val="32"/>
        </w:rPr>
        <w:t>27.77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2</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因单位工作业务，日常下乡公务用车；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根据相关要求，我单位对当年所有项目资金支出做预算绩效自评工作，经主要领导亲自部署安排，由财务人员核对决算收支数据，项目办根据项目具体实施方案，综合考评，针对每个项目做出详细绩效自评，更好的发挥经济效益及社会效益。</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1、2017年防灾减灾补助资金项目绩效自评综述：根据年初设定的绩效目标，该项目绩效自评得分为75分。项目全年预算数为5万元，执行数为1.05万元，完成预算的21%。主要产出和效果：为泽普县种植业减少病虫害的侵入，提供专业的病虫害防治技术，完成率75%。该项目的实施，为群众防治病虫害指导服务，使农业增产增收。发现的问题及原因：单位专业技术人员由于抽调，人员不足。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2、2017年建设监测预警终端补助项目绩效自评综述：根据年初设定的绩效目标，该项目绩效自评得分为95分。项目全年预算数为14万元，执行数为14万元，完成预算的100%。主要产出和效果：在泽普县安装预警终端设备，监测土壤，合理利用发现的问题及原因：单位专业技术人员由于抽调，人员不足。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3、2017年基层农技推广改革与建设补助项目绩效自评综述：根据年初设定的绩效目标，该项目绩效自评得分为70分。项目全年预算数为35万元，执行数为5.49万元，完成预算的15.69%。主要产出和效果：为农户在种植业生产发展上积极指导，提供专业的技术服务，完成率100%。该项目的实施，为群众提供技术服务，使农业增产增收。发现的问题及原因：单位专业技术人员由于抽调，人员不足。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4、2016年农产品检测双认证项目绩效自评综述：根据年初设定的绩效目标，该项目绩效自评得分为90分。项目全年预算数为10万元，执行数为10万元，完成预算的100%。主要产出和效果：在农产品质量安全检验中，做到每月抽样检验。发现的问题及原因：单位专业技术人员由于抽调，人员不足。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rPr>
          <w:rFonts w:hint="eastAsia" w:eastAsia="仿宋_GB2312"/>
          <w:lang w:eastAsia="zh-CN"/>
        </w:rPr>
      </w:pPr>
      <w:r>
        <w:rPr>
          <w:rFonts w:ascii="仿宋_GB2312" w:hAnsi="仿宋_GB2312" w:eastAsia="仿宋_GB2312" w:cs="仿宋_GB2312"/>
          <w:b w:val="0"/>
          <w:color w:val="auto"/>
          <w:sz w:val="32"/>
          <w:u w:val="none"/>
        </w:rPr>
        <w:t>5、2016年基层农技推广改革与建设补助项目绩效自评综述：根据年初设定的绩效目标，该项目绩效自评得分为95分。项目全年预算数为100万元，执行数为100万元，完成预算的100%。主要产出和效果：为农户在种植业生产发展上积极指导，提供专业的技术服务，完成率100%。该项目的实施，为群众提供技术服务，使农业增产增收。发现的问题及原因：单位专业技术人员由于抽调，人员不足。下一步改进措施：在今后的工作一方面要严格预算编制，做到细化精确，争取一些费用纳入财政预算中；另一方面要严格落实项目经费使用管理规定，做到专款专用</w:t>
      </w:r>
      <w:r>
        <w:rPr>
          <w:rFonts w:hint="eastAsia" w:ascii="仿宋_GB2312" w:hAnsi="仿宋_GB2312" w:eastAsia="仿宋_GB2312" w:cs="仿宋_GB2312"/>
          <w:b w:val="0"/>
          <w:color w:val="auto"/>
          <w:sz w:val="32"/>
          <w:u w:val="none"/>
          <w:lang w:eastAsia="zh-CN"/>
        </w:rPr>
        <w:t>。</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213（类）01（款）06（项）指：科技转化与推广服务。213（类）01（款）04（项）指：事业运行。221（类）02（款）01（项）指：住房公积金。213（类）01（款）19（项）指：防灾救灾。208（类）05（款）05（项）指：机关事业单位基本养老保险缴费支出。213（类）01（款）99（项）指：其他农业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hint="eastAsia" w:ascii="宋体" w:hAnsi="宋体" w:eastAsia="宋体"/>
        <w:sz w:val="28"/>
        <w:lang w:eastAsia="zh-CN"/>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-12-</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2D3976"/>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7EC3148"/>
    <w:rsid w:val="682C3D89"/>
    <w:rsid w:val="68611305"/>
    <w:rsid w:val="6A162DE0"/>
    <w:rsid w:val="6A331428"/>
    <w:rsid w:val="6B2E5CB6"/>
    <w:rsid w:val="6B3D4886"/>
    <w:rsid w:val="6CD60050"/>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304</TotalTime>
  <ScaleCrop>false</ScaleCrop>
  <LinksUpToDate>false</LinksUpToDate>
  <CharactersWithSpaces>7696</CharactersWithSpaces>
  <Application>WPS Office_11.1.0.9022_F1E327BC-269C-435d-A152-05C5408002CA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2019-09-19T13:14:17Z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2052-11.1.0.9022</vt:lpwstr>
  </property>
</Properties>
</file>