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华文中宋" w:hAnsi="华文中宋" w:eastAsia="华文中宋" w:cs="宋体"/>
          <w:b/>
          <w:kern w:val="0"/>
          <w:sz w:val="52"/>
          <w:szCs w:val="52"/>
          <w:lang w:eastAsia="zh-CN"/>
        </w:rPr>
      </w:pPr>
      <w:r>
        <w:rPr>
          <w:rFonts w:hint="eastAsia" w:ascii="仿宋" w:hAnsi="仿宋" w:eastAsia="仿宋" w:cs="宋体"/>
          <w:kern w:val="0"/>
          <w:sz w:val="32"/>
          <w:szCs w:val="32"/>
          <w:lang w:val="en-US" w:eastAsia="zh-CN"/>
        </w:rPr>
        <w:t xml:space="preserve"> </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年度</w:t>
      </w: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int="eastAsia" w:hAnsi="宋体" w:eastAsia="仿宋_GB2312" w:cs="宋体"/>
          <w:kern w:val="0"/>
          <w:sz w:val="30"/>
          <w:szCs w:val="30"/>
          <w:lang w:eastAsia="zh-CN"/>
        </w:rPr>
      </w:pPr>
      <w:r>
        <w:rPr>
          <w:rFonts w:hint="eastAsia" w:ascii="方正小标宋_GBK" w:hAnsi="宋体" w:eastAsia="方正小标宋_GBK" w:cs="宋体"/>
          <w:kern w:val="0"/>
          <w:sz w:val="36"/>
          <w:szCs w:val="36"/>
          <w:lang w:val="en-US" w:eastAsia="zh-CN"/>
        </w:rPr>
        <w:t xml:space="preserve"> </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pStyle w:val="2"/>
        <w:ind w:left="2160" w:hanging="2160" w:hangingChars="600"/>
        <w:rPr>
          <w:rFonts w:hint="eastAsia" w:ascii="仿宋_GB2312" w:hAnsi="仿宋_GB2312" w:eastAsia="仿宋_GB2312" w:cs="仿宋_GB2312"/>
          <w:b w:val="0"/>
          <w:bCs w:val="0"/>
          <w:sz w:val="36"/>
          <w:szCs w:val="36"/>
          <w:lang w:val="en-US" w:eastAsia="zh-CN"/>
        </w:rPr>
      </w:pPr>
      <w:r>
        <w:rPr>
          <w:rFonts w:hint="eastAsia" w:ascii="仿宋_GB2312" w:hAnsi="仿宋_GB2312" w:eastAsia="仿宋_GB2312" w:cs="仿宋_GB2312"/>
          <w:b w:val="0"/>
          <w:bCs w:val="0"/>
          <w:sz w:val="36"/>
          <w:szCs w:val="36"/>
          <w:lang w:val="en-US" w:eastAsia="zh-CN"/>
        </w:rPr>
        <w:t>项目名称 ：泽普县农机局农民农机专业合作社设备配套项目</w:t>
      </w:r>
    </w:p>
    <w:p>
      <w:pPr>
        <w:pStyle w:val="2"/>
        <w:rPr>
          <w:rFonts w:hint="eastAsia" w:ascii="仿宋_GB2312" w:hAnsi="仿宋_GB2312" w:eastAsia="仿宋_GB2312" w:cs="仿宋_GB2312"/>
          <w:b w:val="0"/>
          <w:bCs w:val="0"/>
          <w:sz w:val="36"/>
          <w:szCs w:val="36"/>
          <w:lang w:val="en-US" w:eastAsia="zh-CN"/>
        </w:rPr>
      </w:pPr>
      <w:r>
        <w:rPr>
          <w:rFonts w:hint="eastAsia" w:ascii="仿宋_GB2312" w:hAnsi="仿宋_GB2312" w:eastAsia="仿宋_GB2312" w:cs="仿宋_GB2312"/>
          <w:b w:val="0"/>
          <w:bCs w:val="0"/>
          <w:sz w:val="36"/>
          <w:szCs w:val="36"/>
          <w:lang w:val="en-US" w:eastAsia="zh-CN"/>
        </w:rPr>
        <w:t>实施单位（签章）：泽普县农牧机械局</w:t>
      </w:r>
    </w:p>
    <w:p>
      <w:pPr>
        <w:pStyle w:val="2"/>
        <w:rPr>
          <w:rFonts w:hint="eastAsia" w:ascii="仿宋_GB2312" w:hAnsi="仿宋_GB2312" w:eastAsia="仿宋_GB2312" w:cs="仿宋_GB2312"/>
          <w:b w:val="0"/>
          <w:bCs w:val="0"/>
          <w:sz w:val="36"/>
          <w:szCs w:val="36"/>
          <w:lang w:val="en-US" w:eastAsia="zh-CN"/>
        </w:rPr>
      </w:pPr>
      <w:r>
        <w:rPr>
          <w:rFonts w:hint="eastAsia" w:ascii="仿宋_GB2312" w:hAnsi="仿宋_GB2312" w:eastAsia="仿宋_GB2312" w:cs="仿宋_GB2312"/>
          <w:b w:val="0"/>
          <w:bCs w:val="0"/>
          <w:sz w:val="36"/>
          <w:szCs w:val="36"/>
          <w:lang w:val="en-US" w:eastAsia="zh-CN"/>
        </w:rPr>
        <w:t>主管部门（签章）：泽普县人民政府</w:t>
      </w:r>
    </w:p>
    <w:p>
      <w:pPr>
        <w:pStyle w:val="2"/>
        <w:rPr>
          <w:rFonts w:hint="eastAsia" w:ascii="仿宋_GB2312" w:hAnsi="仿宋_GB2312" w:eastAsia="仿宋_GB2312" w:cs="仿宋_GB2312"/>
          <w:b w:val="0"/>
          <w:bCs w:val="0"/>
          <w:sz w:val="36"/>
          <w:szCs w:val="36"/>
          <w:lang w:val="en-US" w:eastAsia="zh-CN"/>
        </w:rPr>
      </w:pPr>
      <w:r>
        <w:rPr>
          <w:rFonts w:hint="eastAsia" w:ascii="仿宋_GB2312" w:hAnsi="仿宋_GB2312" w:eastAsia="仿宋_GB2312" w:cs="仿宋_GB2312"/>
          <w:b w:val="0"/>
          <w:bCs w:val="0"/>
          <w:sz w:val="36"/>
          <w:szCs w:val="36"/>
          <w:lang w:val="en-US" w:eastAsia="zh-CN"/>
        </w:rPr>
        <w:t>项目负责人 ：阿布都热西提·买买提</w:t>
      </w:r>
    </w:p>
    <w:p>
      <w:pPr>
        <w:pStyle w:val="2"/>
        <w:rPr>
          <w:rFonts w:hint="eastAsia" w:ascii="仿宋_GB2312" w:hAnsi="仿宋_GB2312" w:eastAsia="仿宋_GB2312" w:cs="仿宋_GB2312"/>
          <w:b w:val="0"/>
          <w:bCs w:val="0"/>
          <w:sz w:val="36"/>
          <w:szCs w:val="36"/>
          <w:lang w:val="en-US" w:eastAsia="zh-CN"/>
        </w:rPr>
      </w:pPr>
      <w:r>
        <w:rPr>
          <w:rFonts w:hint="eastAsia" w:ascii="仿宋_GB2312" w:hAnsi="仿宋_GB2312" w:eastAsia="仿宋_GB2312" w:cs="仿宋_GB2312"/>
          <w:b w:val="0"/>
          <w:bCs w:val="0"/>
          <w:sz w:val="36"/>
          <w:szCs w:val="36"/>
          <w:lang w:val="en-US" w:eastAsia="zh-CN"/>
        </w:rPr>
        <w:t>填报时间   ：2018  年 12 月  26 日</w:t>
      </w:r>
    </w:p>
    <w:p>
      <w:pPr>
        <w:pStyle w:val="2"/>
        <w:rPr>
          <w:rFonts w:hint="eastAsia" w:ascii="仿宋_GB2312" w:hAnsi="仿宋_GB2312" w:eastAsia="仿宋_GB2312" w:cs="仿宋_GB2312"/>
          <w:b w:val="0"/>
          <w:bCs w:val="0"/>
          <w:sz w:val="32"/>
          <w:szCs w:val="32"/>
          <w:lang w:val="en-US" w:eastAsia="zh-CN"/>
        </w:rPr>
      </w:pPr>
    </w:p>
    <w:p>
      <w:pPr>
        <w:pStyle w:val="2"/>
        <w:rPr>
          <w:rFonts w:hint="eastAsia" w:ascii="仿宋_GB2312" w:hAnsi="仿宋_GB2312" w:eastAsia="仿宋_GB2312" w:cs="仿宋_GB2312"/>
          <w:b w:val="0"/>
          <w:bCs w:val="0"/>
          <w:sz w:val="32"/>
          <w:szCs w:val="32"/>
          <w:lang w:val="en-US" w:eastAsia="zh-CN"/>
        </w:rPr>
      </w:pPr>
    </w:p>
    <w:p>
      <w:pPr>
        <w:pStyle w:val="2"/>
        <w:rPr>
          <w:rFonts w:hint="eastAsia" w:ascii="仿宋_GB2312" w:hAnsi="仿宋_GB2312" w:eastAsia="仿宋_GB2312" w:cs="仿宋_GB2312"/>
          <w:b w:val="0"/>
          <w:bCs w:val="0"/>
          <w:sz w:val="32"/>
          <w:szCs w:val="32"/>
          <w:lang w:val="en-US" w:eastAsia="zh-CN"/>
        </w:rPr>
      </w:pPr>
    </w:p>
    <w:p>
      <w:pPr>
        <w:pStyle w:val="2"/>
        <w:rPr>
          <w:rFonts w:hint="eastAsia" w:ascii="仿宋_GB2312" w:hAnsi="仿宋_GB2312" w:eastAsia="仿宋_GB2312" w:cs="仿宋_GB2312"/>
          <w:b w:val="0"/>
          <w:bCs w:val="0"/>
          <w:sz w:val="32"/>
          <w:szCs w:val="32"/>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黑体" w:hAnsi="黑体" w:eastAsia="黑体" w:cs="黑体"/>
          <w:b w:val="0"/>
          <w:bCs w:val="0"/>
          <w:sz w:val="30"/>
          <w:szCs w:val="30"/>
          <w:lang w:val="en-US" w:eastAsia="zh-CN"/>
        </w:rPr>
      </w:pPr>
      <w:r>
        <w:rPr>
          <w:rFonts w:hint="eastAsia" w:ascii="黑体" w:hAnsi="黑体" w:eastAsia="黑体" w:cs="黑体"/>
          <w:b w:val="0"/>
          <w:bCs w:val="0"/>
          <w:sz w:val="30"/>
          <w:szCs w:val="30"/>
          <w:lang w:val="en-US" w:eastAsia="zh-CN"/>
        </w:rPr>
        <w:t>项目概况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近年来，政府及有关部门高度重视现代化农业机械发展，为有效规范的发展现代农业，促进农民就业，特成立农民农机专业合作社。在县农机局牵头带领下，泽普县成立了三个农民农机专业合作社，安排扶贫资金525.38万元用于新型农机采购，截止2018年9月中旬，已基本完成农机合作社农机具的采购工作。</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黑体" w:hAnsi="黑体" w:eastAsia="黑体" w:cs="黑体"/>
          <w:b w:val="0"/>
          <w:bCs w:val="0"/>
          <w:sz w:val="30"/>
          <w:szCs w:val="30"/>
          <w:lang w:val="en-US" w:eastAsia="zh-CN"/>
        </w:rPr>
      </w:pPr>
      <w:r>
        <w:rPr>
          <w:rFonts w:hint="eastAsia" w:ascii="黑体" w:hAnsi="黑体" w:eastAsia="黑体" w:cs="黑体"/>
          <w:b w:val="0"/>
          <w:bCs w:val="0"/>
          <w:sz w:val="30"/>
          <w:szCs w:val="30"/>
          <w:lang w:val="en-US" w:eastAsia="zh-CN"/>
        </w:rPr>
        <w:t>资金使用情况：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zh-CN" w:eastAsia="zh-CN"/>
        </w:rPr>
        <w:t>项目资金使用</w:t>
      </w:r>
      <w:r>
        <w:rPr>
          <w:rFonts w:hint="eastAsia" w:ascii="仿宋_GB2312" w:hAnsi="仿宋_GB2312" w:eastAsia="仿宋_GB2312" w:cs="仿宋_GB2312"/>
          <w:sz w:val="30"/>
          <w:szCs w:val="30"/>
          <w:lang w:val="en-US" w:eastAsia="zh-CN"/>
        </w:rPr>
        <w:t>中央财政预算资金525.38</w:t>
      </w:r>
      <w:r>
        <w:rPr>
          <w:rFonts w:hint="eastAsia" w:ascii="仿宋_GB2312" w:hAnsi="仿宋_GB2312" w:eastAsia="仿宋_GB2312" w:cs="仿宋_GB2312"/>
          <w:sz w:val="30"/>
          <w:szCs w:val="30"/>
          <w:lang w:val="zh-CN" w:eastAsia="zh-CN"/>
        </w:rPr>
        <w:t>万元，</w:t>
      </w:r>
      <w:r>
        <w:rPr>
          <w:rFonts w:hint="eastAsia" w:ascii="仿宋_GB2312" w:hAnsi="仿宋_GB2312" w:eastAsia="仿宋_GB2312" w:cs="仿宋_GB2312"/>
          <w:sz w:val="30"/>
          <w:szCs w:val="30"/>
          <w:lang w:val="en-US" w:eastAsia="zh-CN"/>
        </w:rPr>
        <w:t>目前项目资金已使用499.11万元，剩余5%为质保</w:t>
      </w:r>
      <w:bookmarkStart w:id="0" w:name="_GoBack"/>
      <w:bookmarkEnd w:id="0"/>
      <w:r>
        <w:rPr>
          <w:rFonts w:hint="eastAsia" w:ascii="仿宋_GB2312" w:hAnsi="仿宋_GB2312" w:eastAsia="仿宋_GB2312" w:cs="仿宋_GB2312"/>
          <w:sz w:val="30"/>
          <w:szCs w:val="30"/>
          <w:lang w:val="en-US" w:eastAsia="zh-CN"/>
        </w:rPr>
        <w:t>金，一年后支付。</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00" w:firstLineChars="200"/>
        <w:jc w:val="left"/>
        <w:textAlignment w:val="auto"/>
        <w:outlineLvl w:val="9"/>
        <w:rPr>
          <w:rFonts w:hint="eastAsia" w:ascii="黑体" w:hAnsi="黑体" w:eastAsia="黑体" w:cs="黑体"/>
          <w:b w:val="0"/>
          <w:bCs w:val="0"/>
          <w:sz w:val="30"/>
          <w:szCs w:val="30"/>
          <w:lang w:val="en-US" w:eastAsia="zh-CN"/>
        </w:rPr>
      </w:pPr>
      <w:r>
        <w:rPr>
          <w:rFonts w:hint="eastAsia" w:ascii="黑体" w:hAnsi="黑体" w:eastAsia="黑体" w:cs="黑体"/>
          <w:b w:val="0"/>
          <w:bCs w:val="0"/>
          <w:sz w:val="30"/>
          <w:szCs w:val="30"/>
          <w:lang w:val="en-US" w:eastAsia="zh-CN"/>
        </w:rPr>
        <w:t>项目执行基本情况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黑体" w:hAnsi="黑体" w:eastAsia="黑体" w:cs="黑体"/>
          <w:b w:val="0"/>
          <w:bCs w:val="0"/>
          <w:sz w:val="30"/>
          <w:szCs w:val="30"/>
          <w:lang w:val="en-US" w:eastAsia="zh-CN"/>
        </w:rPr>
      </w:pPr>
      <w:r>
        <w:rPr>
          <w:rFonts w:hint="eastAsia" w:ascii="楷体_GB2312" w:hAnsi="仿宋_GB2312" w:eastAsia="楷体_GB2312" w:cs="仿宋_GB2312"/>
          <w:sz w:val="30"/>
          <w:szCs w:val="30"/>
        </w:rPr>
        <w:t>（一）项目立项情况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_GB2312" w:hAnsi="楷体_GB2312" w:eastAsia="楷体_GB2312" w:cs="楷体_GB2312"/>
          <w:b w:val="0"/>
          <w:bCs w:val="0"/>
          <w:sz w:val="30"/>
          <w:szCs w:val="30"/>
          <w:lang w:val="en-US" w:eastAsia="zh-CN"/>
        </w:rPr>
      </w:pPr>
      <w:r>
        <w:rPr>
          <w:rFonts w:hint="eastAsia" w:ascii="楷体_GB2312" w:hAnsi="楷体_GB2312" w:eastAsia="楷体_GB2312" w:cs="楷体_GB2312"/>
          <w:b w:val="0"/>
          <w:bCs w:val="0"/>
          <w:sz w:val="30"/>
          <w:szCs w:val="30"/>
          <w:lang w:val="en-US" w:eastAsia="zh-CN"/>
        </w:rPr>
        <w:t>1、泽普县信友农机服务农民专业合作社</w:t>
      </w:r>
    </w:p>
    <w:p>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outlineLvl w:val="9"/>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信友农民农机合作社成立于2018年7月1日，位于新疆泽普县依克苏乡塔尕尔其村2组，农机合作社现有成员共计11人，其中5名为贫困户，主要服务于农业生产。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_GB2312" w:hAnsi="楷体_GB2312" w:eastAsia="楷体_GB2312" w:cs="楷体_GB2312"/>
          <w:b w:val="0"/>
          <w:bCs w:val="0"/>
          <w:sz w:val="30"/>
          <w:szCs w:val="30"/>
          <w:lang w:val="en-US" w:eastAsia="zh-CN"/>
        </w:rPr>
      </w:pPr>
      <w:r>
        <w:rPr>
          <w:rFonts w:hint="eastAsia" w:ascii="楷体_GB2312" w:hAnsi="楷体_GB2312" w:eastAsia="楷体_GB2312" w:cs="楷体_GB2312"/>
          <w:b w:val="0"/>
          <w:bCs w:val="0"/>
          <w:sz w:val="30"/>
          <w:szCs w:val="30"/>
          <w:lang w:val="en-US" w:eastAsia="zh-CN"/>
        </w:rPr>
        <w:t>2、泽普县金牛农民农机服务专业合作社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 xml:space="preserve">金牛农民农机合作社成立于2014年 ，位于新疆泽普县古勒巴格乡农机管理站院内，农机合作社现有成员共计37人，其中贫困户4人。主要服务于农业生产、农机具维修。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_GB2312" w:hAnsi="楷体_GB2312" w:eastAsia="楷体_GB2312" w:cs="楷体_GB2312"/>
          <w:b w:val="0"/>
          <w:bCs w:val="0"/>
          <w:sz w:val="30"/>
          <w:szCs w:val="30"/>
          <w:lang w:val="en-US" w:eastAsia="zh-CN"/>
        </w:rPr>
      </w:pPr>
      <w:r>
        <w:rPr>
          <w:rFonts w:hint="eastAsia" w:ascii="楷体_GB2312" w:hAnsi="楷体_GB2312" w:eastAsia="楷体_GB2312" w:cs="楷体_GB2312"/>
          <w:b w:val="0"/>
          <w:bCs w:val="0"/>
          <w:sz w:val="30"/>
          <w:szCs w:val="30"/>
          <w:lang w:val="en-US" w:eastAsia="zh-CN"/>
        </w:rPr>
        <w:t>3、泽普县悦民农民农机服务专业合作社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仿宋_GB2312" w:hAnsi="仿宋_GB2312" w:eastAsia="仿宋_GB2312" w:cs="仿宋_GB2312"/>
          <w:b w:val="0"/>
          <w:bCs w:val="0"/>
          <w:kern w:val="2"/>
          <w:sz w:val="30"/>
          <w:szCs w:val="30"/>
          <w:lang w:val="en-US" w:eastAsia="zh-CN" w:bidi="ar-SA"/>
        </w:rPr>
      </w:pPr>
      <w:r>
        <w:rPr>
          <w:rFonts w:hint="eastAsia" w:ascii="仿宋_GB2312" w:hAnsi="仿宋_GB2312" w:eastAsia="仿宋_GB2312" w:cs="仿宋_GB2312"/>
          <w:b w:val="0"/>
          <w:bCs w:val="0"/>
          <w:kern w:val="2"/>
          <w:sz w:val="30"/>
          <w:szCs w:val="30"/>
          <w:lang w:val="en-US" w:eastAsia="zh-CN" w:bidi="ar-SA"/>
        </w:rPr>
        <w:t>悦民农民农机服务专业合作社成立于2018年7月15日 ，位于新疆泽普县阿依库勒乡库台村，农机合作社现有成员共计39人，其中贫困户9人，主要服务于农业生产。</w:t>
      </w:r>
    </w:p>
    <w:p>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outlineLvl w:val="9"/>
        <w:rPr>
          <w:rFonts w:ascii="楷体_GB2312" w:hAnsi="仿宋_GB2312" w:eastAsia="楷体_GB2312" w:cs="仿宋_GB2312"/>
          <w:sz w:val="30"/>
          <w:szCs w:val="30"/>
        </w:rPr>
      </w:pPr>
      <w:r>
        <w:rPr>
          <w:rFonts w:hint="eastAsia" w:ascii="楷体_GB2312" w:hAnsi="仿宋_GB2312" w:eastAsia="楷体_GB2312" w:cs="仿宋_GB2312"/>
          <w:sz w:val="30"/>
          <w:szCs w:val="30"/>
        </w:rPr>
        <w:t>（二）项目调整情况</w:t>
      </w:r>
    </w:p>
    <w:p>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项目按照原计划实施，没有变化和调整。</w:t>
      </w:r>
      <w:r>
        <w:rPr>
          <w:rFonts w:ascii="仿宋_GB2312" w:hAnsi="仿宋_GB2312" w:eastAsia="仿宋_GB2312" w:cs="仿宋_GB2312"/>
          <w:sz w:val="30"/>
          <w:szCs w:val="30"/>
        </w:rPr>
        <w:t xml:space="preserve"> </w:t>
      </w:r>
    </w:p>
    <w:p>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outlineLvl w:val="9"/>
        <w:rPr>
          <w:rFonts w:ascii="楷体_GB2312" w:hAnsi="仿宋_GB2312" w:eastAsia="楷体_GB2312" w:cs="仿宋_GB2312"/>
          <w:sz w:val="30"/>
          <w:szCs w:val="30"/>
        </w:rPr>
      </w:pPr>
      <w:r>
        <w:rPr>
          <w:rFonts w:hint="eastAsia" w:ascii="楷体_GB2312" w:hAnsi="仿宋_GB2312" w:eastAsia="楷体_GB2312" w:cs="仿宋_GB2312"/>
          <w:sz w:val="30"/>
          <w:szCs w:val="30"/>
        </w:rPr>
        <w:t>（三）项目监督检查情况</w:t>
      </w:r>
    </w:p>
    <w:p>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抽调专人对项目进行负责，每周抽四天左右的时间进行检查；单位的主要领导定期不定期的进行检查，发现问题及时纠正。</w:t>
      </w:r>
      <w:r>
        <w:rPr>
          <w:rFonts w:ascii="仿宋_GB2312" w:hAnsi="仿宋_GB2312" w:eastAsia="仿宋_GB2312" w:cs="仿宋_GB2312"/>
          <w:sz w:val="30"/>
          <w:szCs w:val="30"/>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00" w:firstLineChars="200"/>
        <w:jc w:val="left"/>
        <w:textAlignment w:val="auto"/>
        <w:outlineLvl w:val="9"/>
        <w:rPr>
          <w:rFonts w:hint="eastAsia"/>
          <w:sz w:val="30"/>
          <w:szCs w:val="30"/>
          <w:lang w:val="en-US" w:eastAsia="zh-CN"/>
        </w:rPr>
      </w:pPr>
      <w:r>
        <w:rPr>
          <w:rFonts w:hint="eastAsia" w:ascii="楷体_GB2312" w:hAnsi="仿宋_GB2312" w:eastAsia="楷体_GB2312" w:cs="仿宋_GB2312"/>
          <w:sz w:val="30"/>
          <w:szCs w:val="30"/>
          <w:lang w:eastAsia="zh-CN"/>
        </w:rPr>
        <w:t>（四）</w:t>
      </w:r>
      <w:r>
        <w:rPr>
          <w:rFonts w:hint="eastAsia" w:ascii="楷体_GB2312" w:hAnsi="仿宋_GB2312" w:eastAsia="楷体_GB2312" w:cs="仿宋_GB2312"/>
          <w:sz w:val="30"/>
          <w:szCs w:val="30"/>
        </w:rPr>
        <w:t>项目完成情况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信友农民农机合作社购买农机设备166.99万元，配套农机具已经全部到位。农机装备主要包括拖拉机、联合收割机、饲料青贮打包机、播种机、果树开沟施肥机、联合整地机等22种，共计33台。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当地农民以现金入股方式加入农机合作社，累计入股金额4.5万元 。信友农机合作社自2018年成立以来向周边农业生产服务约1个月时间，累计收入18.2万元，净利润16.3万元。（信友农机合作社联系方式： 安外尔·图尔荪 13399787439）</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金牛农民农机合作社购买农机设备189.2万元，农机具全部到位。农机装备主要包括拖拉机、联合收割机、饲料青贮打包机、播种机、果树开沟施肥机、联合整地机、圆盘果树修剪机等23种，共计26台。金牛农民农机合作社2018年累计收入约11万元，净利润6.5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悦民农民农机服务专业合作</w:t>
      </w:r>
      <w:r>
        <w:rPr>
          <w:rFonts w:hint="eastAsia" w:ascii="仿宋_GB2312" w:hAnsi="仿宋_GB2312" w:eastAsia="仿宋_GB2312" w:cs="仿宋_GB2312"/>
          <w:sz w:val="30"/>
          <w:szCs w:val="30"/>
          <w:lang w:val="en-US" w:eastAsia="zh-CN"/>
        </w:rPr>
        <w:t>购买农机设备169.19万元，配套农机具已经全部到位。</w:t>
      </w:r>
      <w:r>
        <w:rPr>
          <w:rFonts w:hint="eastAsia" w:ascii="仿宋_GB2312" w:hAnsi="仿宋_GB2312" w:eastAsia="仿宋_GB2312" w:cs="仿宋_GB2312"/>
          <w:b w:val="0"/>
          <w:bCs w:val="0"/>
          <w:sz w:val="30"/>
          <w:szCs w:val="30"/>
          <w:lang w:val="en-US" w:eastAsia="zh-CN"/>
        </w:rPr>
        <w:t>农机装备主要包括拖拉机、联合收割机、饲料青贮打包机、播种机、果树开沟施肥机、联合整地机、圆盘果树修剪机等22种，共计34台。</w:t>
      </w:r>
    </w:p>
    <w:p>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当地农民以人机入股、技术入股方式加入农机合作社。悦民农民农机合作社自2018年成立以来向周边农业生产服务约3个时间，分别在2乡、9乡、桐安乡开展农机服务，累计收入53万元。（悦民农机合作社联系方式：努尔买买提·肉孜13899175617 ）</w:t>
      </w:r>
    </w:p>
    <w:p>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outlineLvl w:val="9"/>
        <w:rPr>
          <w:rFonts w:ascii="楷体_GB2312" w:hAnsi="仿宋_GB2312" w:eastAsia="楷体_GB2312" w:cs="仿宋_GB2312"/>
          <w:sz w:val="30"/>
          <w:szCs w:val="30"/>
        </w:rPr>
      </w:pPr>
      <w:r>
        <w:rPr>
          <w:rFonts w:hint="eastAsia" w:ascii="楷体_GB2312" w:hAnsi="仿宋_GB2312" w:eastAsia="楷体_GB2312" w:cs="仿宋_GB2312"/>
          <w:sz w:val="30"/>
          <w:szCs w:val="30"/>
        </w:rPr>
        <w:t>（五）项目资金安排与使用情况</w:t>
      </w:r>
    </w:p>
    <w:p>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建设项目总资金共</w:t>
      </w:r>
      <w:r>
        <w:rPr>
          <w:rFonts w:hint="eastAsia" w:ascii="仿宋_GB2312" w:hAnsi="仿宋_GB2312" w:eastAsia="仿宋_GB2312" w:cs="仿宋_GB2312"/>
          <w:sz w:val="30"/>
          <w:szCs w:val="30"/>
          <w:lang w:val="en-US" w:eastAsia="zh-CN"/>
        </w:rPr>
        <w:t>525.38</w:t>
      </w:r>
      <w:r>
        <w:rPr>
          <w:rFonts w:hint="eastAsia" w:ascii="仿宋_GB2312" w:hAnsi="仿宋_GB2312" w:eastAsia="仿宋_GB2312" w:cs="仿宋_GB2312"/>
          <w:sz w:val="30"/>
          <w:szCs w:val="30"/>
        </w:rPr>
        <w:t>万元，截至目前已拨付</w:t>
      </w:r>
      <w:r>
        <w:rPr>
          <w:rFonts w:hint="eastAsia" w:ascii="仿宋_GB2312" w:hAnsi="仿宋_GB2312" w:eastAsia="仿宋_GB2312" w:cs="仿宋_GB2312"/>
          <w:sz w:val="30"/>
          <w:szCs w:val="30"/>
          <w:lang w:val="en-US" w:eastAsia="zh-CN"/>
        </w:rPr>
        <w:t>499.11万</w:t>
      </w:r>
      <w:r>
        <w:rPr>
          <w:rFonts w:hint="eastAsia" w:ascii="仿宋_GB2312" w:hAnsi="仿宋_GB2312" w:eastAsia="仿宋_GB2312" w:cs="仿宋_GB2312"/>
          <w:sz w:val="30"/>
          <w:szCs w:val="30"/>
        </w:rPr>
        <w:t>元。</w:t>
      </w:r>
    </w:p>
    <w:p>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outlineLvl w:val="9"/>
        <w:rPr>
          <w:rFonts w:ascii="楷体_GB2312" w:hAnsi="仿宋_GB2312" w:eastAsia="楷体_GB2312" w:cs="仿宋_GB2312"/>
          <w:sz w:val="30"/>
          <w:szCs w:val="30"/>
        </w:rPr>
      </w:pPr>
      <w:r>
        <w:rPr>
          <w:rFonts w:hint="eastAsia" w:ascii="楷体_GB2312" w:hAnsi="仿宋_GB2312" w:eastAsia="楷体_GB2312" w:cs="仿宋_GB2312"/>
          <w:sz w:val="30"/>
          <w:szCs w:val="30"/>
        </w:rPr>
        <w:t>（六）项目财务管理状况、管理制度及执行情况</w:t>
      </w:r>
    </w:p>
    <w:p>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项目采</w:t>
      </w:r>
      <w:r>
        <w:rPr>
          <w:rFonts w:hint="eastAsia" w:ascii="仿宋_GB2312" w:hAnsi="仿宋_GB2312" w:eastAsia="仿宋_GB2312" w:cs="仿宋_GB2312"/>
          <w:sz w:val="30"/>
          <w:szCs w:val="30"/>
          <w:lang w:eastAsia="zh-CN"/>
        </w:rPr>
        <w:t>用国库集中</w:t>
      </w:r>
      <w:r>
        <w:rPr>
          <w:rFonts w:hint="eastAsia" w:ascii="仿宋_GB2312" w:hAnsi="仿宋_GB2312" w:eastAsia="仿宋_GB2312" w:cs="仿宋_GB2312"/>
          <w:sz w:val="30"/>
          <w:szCs w:val="30"/>
        </w:rPr>
        <w:t>支付的方式，按照合同预定，根据</w:t>
      </w:r>
      <w:r>
        <w:rPr>
          <w:rFonts w:hint="eastAsia" w:ascii="仿宋_GB2312" w:hAnsi="仿宋_GB2312" w:eastAsia="仿宋_GB2312" w:cs="仿宋_GB2312"/>
          <w:sz w:val="30"/>
          <w:szCs w:val="30"/>
          <w:lang w:eastAsia="zh-CN"/>
        </w:rPr>
        <w:t>实际情况</w:t>
      </w:r>
      <w:r>
        <w:rPr>
          <w:rFonts w:hint="eastAsia" w:ascii="仿宋_GB2312" w:hAnsi="仿宋_GB2312" w:eastAsia="仿宋_GB2312" w:cs="仿宋_GB2312"/>
          <w:sz w:val="30"/>
          <w:szCs w:val="30"/>
        </w:rPr>
        <w:t>出具资金</w:t>
      </w:r>
      <w:r>
        <w:rPr>
          <w:rFonts w:hint="eastAsia" w:ascii="仿宋_GB2312" w:hAnsi="仿宋_GB2312" w:eastAsia="仿宋_GB2312" w:cs="仿宋_GB2312"/>
          <w:sz w:val="30"/>
          <w:szCs w:val="30"/>
          <w:lang w:eastAsia="zh-CN"/>
        </w:rPr>
        <w:t>支付</w:t>
      </w:r>
      <w:r>
        <w:rPr>
          <w:rFonts w:hint="eastAsia" w:ascii="仿宋_GB2312" w:hAnsi="仿宋_GB2312" w:eastAsia="仿宋_GB2312" w:cs="仿宋_GB2312"/>
          <w:sz w:val="30"/>
          <w:szCs w:val="30"/>
        </w:rPr>
        <w:t>申请表，</w:t>
      </w:r>
      <w:r>
        <w:rPr>
          <w:rFonts w:hint="eastAsia" w:ascii="仿宋_GB2312" w:hAnsi="仿宋_GB2312" w:eastAsia="仿宋_GB2312" w:cs="仿宋_GB2312"/>
          <w:sz w:val="30"/>
          <w:szCs w:val="30"/>
          <w:lang w:eastAsia="zh-CN"/>
        </w:rPr>
        <w:t>完成相关部门审核后直接支付给施工方</w:t>
      </w:r>
      <w:r>
        <w:rPr>
          <w:rFonts w:hint="eastAsia" w:ascii="仿宋_GB2312" w:hAnsi="仿宋_GB2312" w:eastAsia="仿宋_GB2312" w:cs="仿宋_GB2312"/>
          <w:sz w:val="30"/>
          <w:szCs w:val="30"/>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黑体" w:hAnsi="黑体" w:eastAsia="黑体" w:cs="黑体"/>
          <w:b w:val="0"/>
          <w:bCs w:val="0"/>
          <w:sz w:val="30"/>
          <w:szCs w:val="30"/>
          <w:lang w:val="en-US" w:eastAsia="zh-CN"/>
        </w:rPr>
      </w:pPr>
      <w:r>
        <w:rPr>
          <w:rFonts w:hint="eastAsia" w:ascii="黑体" w:hAnsi="黑体" w:eastAsia="黑体" w:cs="黑体"/>
          <w:b w:val="0"/>
          <w:bCs w:val="0"/>
          <w:sz w:val="30"/>
          <w:szCs w:val="30"/>
          <w:lang w:val="en-US" w:eastAsia="zh-CN"/>
        </w:rPr>
        <w:t>三、</w:t>
      </w:r>
      <w:r>
        <w:rPr>
          <w:rFonts w:hint="eastAsia" w:ascii="黑体" w:hAnsi="黑体" w:eastAsia="黑体" w:cs="黑体"/>
          <w:b w:val="0"/>
          <w:bCs w:val="0"/>
          <w:sz w:val="30"/>
          <w:szCs w:val="30"/>
          <w:lang w:val="en-US" w:eastAsia="zh-CN"/>
        </w:rPr>
        <w:t>项目绩效目标实现的自我评价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1、加快了新型农机具的推广使用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通过农机合作社引进适合本地特色的农机装备，让农民充分了解各种类型的农机具，同时向群众广泛宣传农机补贴政策，调动农民购买农机具的积极性，有效提高了全区农机化水平，增强了农业综合生产能力。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2、增加了贫困户就业，提升知识技能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00" w:firstLineChars="100"/>
        <w:jc w:val="left"/>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  农机合作社以服务农业生产为主线，带动当地农民就业，主要吸纳贫困户就业，为我县脱贫摘帽和增产增收提供有力保障。带动周边农民就业，通过农机合作社形成了农业机械生产交流平台，农机手之间相互交流学习，提升技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3、形成规模化的现代农业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left"/>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以市场为导向，推动农机装备产业转型升级，从小规模散户自给自足到统筹规划、资源合理分配利用，提高了生产效率，同时为增产提供了有力保障。注入信息化农业元素，逐步形成规模化的、高机械化程度的、各种高新技术配套应用的现代农业生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left"/>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各乡镇农机合作社在2018年借助扶贫资金购置的小麦/玉米联合收割机、青贮打包机、果树</w:t>
      </w:r>
      <w:r>
        <w:rPr>
          <w:rFonts w:hint="eastAsia" w:ascii="仿宋_GB2312" w:hAnsi="仿宋_GB2312" w:eastAsia="仿宋_GB2312" w:cs="仿宋_GB2312"/>
          <w:b w:val="0"/>
          <w:bCs w:val="0"/>
          <w:sz w:val="30"/>
          <w:szCs w:val="30"/>
          <w:lang w:val="en-US" w:eastAsia="zh-CN"/>
        </w:rPr>
        <w:t>开沟施肥机</w:t>
      </w:r>
      <w:r>
        <w:rPr>
          <w:rFonts w:hint="eastAsia" w:ascii="仿宋_GB2312" w:hAnsi="仿宋_GB2312" w:eastAsia="仿宋_GB2312" w:cs="仿宋_GB2312"/>
          <w:sz w:val="30"/>
          <w:szCs w:val="30"/>
          <w:lang w:val="en-US" w:eastAsia="zh-CN"/>
        </w:rPr>
        <w:t>等已全面使用，实现了新产业、新技术的普及应用。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仿宋_GB2312" w:hAnsi="仿宋_GB2312" w:eastAsia="仿宋_GB2312" w:cs="仿宋_GB2312"/>
          <w:b/>
          <w:bCs/>
          <w:sz w:val="32"/>
          <w:szCs w:val="32"/>
          <w:lang w:val="en-US" w:eastAsia="zh-CN"/>
        </w:rPr>
      </w:pPr>
      <w:r>
        <w:rPr>
          <w:rFonts w:hint="eastAsia" w:ascii="黑体" w:hAnsi="黑体" w:eastAsia="黑体" w:cs="黑体"/>
          <w:b w:val="0"/>
          <w:bCs w:val="0"/>
          <w:sz w:val="30"/>
          <w:szCs w:val="30"/>
          <w:lang w:val="en-US" w:eastAsia="zh-CN"/>
        </w:rPr>
        <w:t>四</w:t>
      </w:r>
      <w:r>
        <w:rPr>
          <w:rFonts w:hint="eastAsia" w:ascii="黑体" w:hAnsi="黑体" w:eastAsia="黑体" w:cs="黑体"/>
          <w:b w:val="0"/>
          <w:bCs w:val="0"/>
          <w:sz w:val="32"/>
          <w:szCs w:val="32"/>
          <w:lang w:val="en-US" w:eastAsia="zh-CN"/>
        </w:rPr>
        <w:t>、</w:t>
      </w:r>
      <w:r>
        <w:rPr>
          <w:rFonts w:hint="eastAsia" w:ascii="黑体" w:hAnsi="黑体" w:eastAsia="黑体" w:cs="黑体"/>
          <w:b w:val="0"/>
          <w:bCs w:val="0"/>
          <w:sz w:val="30"/>
          <w:szCs w:val="30"/>
          <w:lang w:val="en-US" w:eastAsia="zh-CN"/>
        </w:rPr>
        <w:t>项目实施的经验、存在的问题和改进措施</w:t>
      </w:r>
      <w:r>
        <w:rPr>
          <w:rFonts w:hint="eastAsia" w:ascii="仿宋_GB2312" w:hAnsi="仿宋_GB2312" w:eastAsia="仿宋_GB2312" w:cs="仿宋_GB2312"/>
          <w:b/>
          <w:bCs/>
          <w:sz w:val="30"/>
          <w:szCs w:val="30"/>
          <w:lang w:val="en-US" w:eastAsia="zh-CN"/>
        </w:rPr>
        <w:t xml:space="preserve"> </w:t>
      </w:r>
      <w:r>
        <w:rPr>
          <w:rFonts w:hint="eastAsia" w:ascii="仿宋_GB2312" w:hAnsi="仿宋_GB2312" w:eastAsia="仿宋_GB2312" w:cs="仿宋_GB2312"/>
          <w:b/>
          <w:bCs/>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1、运营管理方面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目前尚未形成规范有效的管理机制，生产管理都处于起步阶段，需要进一步完善。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整改方案：对合作社要形成统一有效的管理，树立现代企业意识，建立相应的财务制度，提高管理者成本核算能力、效益分析水平及积极参与服务合作社发展的意识。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2、设备管控方面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农机设备管控不到位，表现为负责人对农机设备情况不够了解，对使用情况未做详细记录。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整改方案：合作社新购的农机设备均为国家扶贫项目资金引进的，对农机设备的管控要深入到位，要做到物尽其用，使用后专人进行维护保养。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3、人才培养方面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专业技能培训方面不够成熟，对新型农机设备未形成合理的人才培训机制。</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整改方案：农机合作社引进的农机装备大部分为大型机械设备和较为前沿的新型农机，对农机手、维修技师提出了更高层次的要求，要强化对技术人员的培训，不断提高他们的驾驶操作水平、维修保养水平、故障排除能力及安全生产意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黑体" w:hAnsi="黑体" w:eastAsia="黑体" w:cs="黑体"/>
          <w:b w:val="0"/>
          <w:bCs w:val="0"/>
          <w:kern w:val="0"/>
          <w:sz w:val="30"/>
          <w:szCs w:val="30"/>
          <w:lang w:val="en-US" w:eastAsia="zh-CN" w:bidi="ar-SA"/>
        </w:rPr>
      </w:pPr>
      <w:r>
        <w:rPr>
          <w:rFonts w:hint="eastAsia" w:ascii="黑体" w:hAnsi="黑体" w:eastAsia="黑体" w:cs="黑体"/>
          <w:b w:val="0"/>
          <w:bCs w:val="0"/>
          <w:kern w:val="0"/>
          <w:sz w:val="30"/>
          <w:szCs w:val="30"/>
          <w:lang w:val="en-US" w:eastAsia="zh-CN" w:bidi="ar-SA"/>
        </w:rPr>
        <w:t>五、需要说明的其他事项</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Times New Roman" w:eastAsia="仿宋_GB2312" w:cs="宋体"/>
          <w:b w:val="0"/>
          <w:bCs w:val="0"/>
          <w:kern w:val="0"/>
          <w:sz w:val="30"/>
          <w:szCs w:val="30"/>
          <w:lang w:val="en-US" w:eastAsia="zh-CN" w:bidi="ar-SA"/>
        </w:rPr>
        <w:t>无</w:t>
      </w:r>
    </w:p>
    <w:p>
      <w:pPr>
        <w:pStyle w:val="2"/>
        <w:jc w:val="left"/>
        <w:rPr>
          <w:rFonts w:hint="eastAsia"/>
          <w:lang w:val="en-US" w:eastAsia="zh-CN"/>
        </w:rPr>
      </w:pPr>
    </w:p>
    <w:p>
      <w:pPr>
        <w:pStyle w:val="2"/>
        <w:jc w:val="left"/>
        <w:rPr>
          <w:rFonts w:hint="eastAsia"/>
          <w:lang w:val="en-US" w:eastAsia="zh-CN"/>
        </w:rPr>
      </w:pPr>
    </w:p>
    <w:p>
      <w:pPr>
        <w:pStyle w:val="2"/>
        <w:jc w:val="left"/>
        <w:rPr>
          <w:rFonts w:hint="eastAsia"/>
          <w:lang w:val="en-US" w:eastAsia="zh-CN"/>
        </w:rPr>
      </w:pPr>
    </w:p>
    <w:p>
      <w:pPr>
        <w:pStyle w:val="2"/>
        <w:jc w:val="left"/>
        <w:rPr>
          <w:rFonts w:hint="eastAsia"/>
          <w:lang w:val="en-US" w:eastAsia="zh-CN"/>
        </w:rPr>
      </w:pPr>
    </w:p>
    <w:p>
      <w:pPr>
        <w:pStyle w:val="2"/>
        <w:jc w:val="left"/>
        <w:rPr>
          <w:rFonts w:hint="eastAsia"/>
          <w:lang w:val="en-US" w:eastAsia="zh-CN"/>
        </w:rPr>
      </w:pPr>
    </w:p>
    <w:p>
      <w:pPr>
        <w:pStyle w:val="2"/>
        <w:jc w:val="left"/>
        <w:rPr>
          <w:rFonts w:hint="eastAsia"/>
          <w:lang w:val="en-US" w:eastAsia="zh-CN"/>
        </w:rPr>
      </w:pPr>
    </w:p>
    <w:p>
      <w:pPr>
        <w:pStyle w:val="2"/>
        <w:jc w:val="left"/>
        <w:rPr>
          <w:rFonts w:hint="eastAsia"/>
          <w:sz w:val="30"/>
          <w:szCs w:val="30"/>
          <w:lang w:val="en-US" w:eastAsia="zh-CN"/>
        </w:rPr>
      </w:pPr>
    </w:p>
    <w:p>
      <w:pPr>
        <w:jc w:val="lef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                              泽普县农牧机械局</w:t>
      </w:r>
    </w:p>
    <w:p>
      <w:pPr>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0"/>
          <w:szCs w:val="30"/>
          <w:lang w:val="en-US" w:eastAsia="zh-CN"/>
        </w:rPr>
        <w:t xml:space="preserve">                              2018年12月26日</w:t>
      </w:r>
    </w:p>
    <w:p>
      <w:pPr>
        <w:spacing w:line="540" w:lineRule="exact"/>
        <w:ind w:firstLine="640"/>
        <w:rPr>
          <w:rStyle w:val="18"/>
          <w:rFonts w:ascii="黑体" w:hAnsi="黑体" w:eastAsia="黑体"/>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pStyle w:val="2"/>
        <w:rPr>
          <w:rStyle w:val="18"/>
          <w:rFonts w:ascii="仿宋" w:hAnsi="仿宋" w:eastAsia="仿宋"/>
          <w:b w:val="0"/>
          <w:spacing w:val="-4"/>
          <w:sz w:val="32"/>
          <w:szCs w:val="32"/>
        </w:rPr>
      </w:pPr>
    </w:p>
    <w:p>
      <w:pPr>
        <w:pStyle w:val="2"/>
        <w:rPr>
          <w:rStyle w:val="18"/>
          <w:rFonts w:ascii="仿宋" w:hAnsi="仿宋" w:eastAsia="仿宋"/>
          <w:b w:val="0"/>
          <w:spacing w:val="-4"/>
          <w:sz w:val="32"/>
          <w:szCs w:val="32"/>
        </w:rPr>
      </w:pPr>
    </w:p>
    <w:p>
      <w:pPr>
        <w:pStyle w:val="2"/>
        <w:rPr>
          <w:rStyle w:val="18"/>
          <w:rFonts w:ascii="仿宋" w:hAnsi="仿宋" w:eastAsia="仿宋"/>
          <w:b w:val="0"/>
          <w:spacing w:val="-4"/>
          <w:sz w:val="32"/>
          <w:szCs w:val="32"/>
        </w:rPr>
      </w:pPr>
    </w:p>
    <w:p>
      <w:pPr>
        <w:pStyle w:val="2"/>
        <w:rPr>
          <w:rStyle w:val="18"/>
          <w:rFonts w:ascii="仿宋" w:hAnsi="仿宋" w:eastAsia="仿宋"/>
          <w:b w:val="0"/>
          <w:spacing w:val="-4"/>
          <w:sz w:val="32"/>
          <w:szCs w:val="32"/>
        </w:rPr>
      </w:pPr>
    </w:p>
    <w:p>
      <w:pPr>
        <w:pStyle w:val="2"/>
        <w:rPr>
          <w:rStyle w:val="18"/>
          <w:rFonts w:ascii="仿宋" w:hAnsi="仿宋" w:eastAsia="仿宋"/>
          <w:b w:val="0"/>
          <w:spacing w:val="-4"/>
          <w:sz w:val="32"/>
          <w:szCs w:val="32"/>
        </w:rPr>
      </w:pPr>
    </w:p>
    <w:p>
      <w:pPr>
        <w:pStyle w:val="2"/>
        <w:rPr>
          <w:rStyle w:val="18"/>
          <w:rFonts w:ascii="仿宋" w:hAnsi="仿宋" w:eastAsia="仿宋"/>
          <w:b w:val="0"/>
          <w:spacing w:val="-4"/>
          <w:sz w:val="32"/>
          <w:szCs w:val="32"/>
        </w:rPr>
      </w:pPr>
    </w:p>
    <w:p>
      <w:pPr>
        <w:pStyle w:val="2"/>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r>
              <w:t>自治区财政项目支出绩效自评表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r>
              <w:t>（      2018    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r>
              <w:t/>
            </w:r>
          </w:p>
        </w:tc>
        <w:tc>
          <w:tcPr>
            <w:tcW w:w="1140" w:type="dxa"/>
            <w:tcBorders>
              <w:top w:val="nil"/>
              <w:left w:val="nil"/>
              <w:bottom w:val="nil"/>
              <w:right w:val="nil"/>
            </w:tcBorders>
            <w:shd w:val="clear" w:color="auto" w:fill="auto"/>
            <w:vAlign w:val="center"/>
          </w:tcPr>
          <w:p>
            <w:r>
              <w:t/>
            </w:r>
          </w:p>
        </w:tc>
        <w:tc>
          <w:tcPr>
            <w:tcW w:w="1360" w:type="dxa"/>
            <w:tcBorders>
              <w:top w:val="nil"/>
              <w:left w:val="nil"/>
              <w:bottom w:val="nil"/>
              <w:right w:val="nil"/>
            </w:tcBorders>
            <w:shd w:val="clear" w:color="auto" w:fill="auto"/>
            <w:vAlign w:val="center"/>
          </w:tcPr>
          <w:p>
            <w:r>
              <w:t/>
            </w:r>
          </w:p>
        </w:tc>
        <w:tc>
          <w:tcPr>
            <w:tcW w:w="1080" w:type="dxa"/>
            <w:tcBorders>
              <w:top w:val="nil"/>
              <w:left w:val="nil"/>
              <w:bottom w:val="nil"/>
              <w:right w:val="nil"/>
            </w:tcBorders>
            <w:shd w:val="clear" w:color="auto" w:fill="auto"/>
            <w:vAlign w:val="center"/>
          </w:tcPr>
          <w:p>
            <w:r>
              <w:t/>
            </w:r>
          </w:p>
        </w:tc>
        <w:tc>
          <w:tcPr>
            <w:tcW w:w="880" w:type="dxa"/>
            <w:tcBorders>
              <w:top w:val="nil"/>
              <w:left w:val="nil"/>
              <w:bottom w:val="nil"/>
              <w:right w:val="nil"/>
            </w:tcBorders>
            <w:shd w:val="clear" w:color="auto" w:fill="auto"/>
            <w:vAlign w:val="center"/>
          </w:tcPr>
          <w:p>
            <w:r>
              <w:t/>
            </w:r>
          </w:p>
        </w:tc>
        <w:tc>
          <w:tcPr>
            <w:tcW w:w="2060" w:type="dxa"/>
            <w:tcBorders>
              <w:top w:val="nil"/>
              <w:left w:val="nil"/>
              <w:bottom w:val="nil"/>
              <w:right w:val="nil"/>
            </w:tcBorders>
            <w:shd w:val="clear" w:color="auto" w:fill="auto"/>
            <w:vAlign w:val="center"/>
          </w:tcPr>
          <w:p>
            <w:r>
              <w:t/>
            </w:r>
          </w:p>
        </w:tc>
        <w:tc>
          <w:tcPr>
            <w:tcW w:w="1780" w:type="dxa"/>
            <w:tcBorders>
              <w:top w:val="nil"/>
              <w:left w:val="nil"/>
              <w:bottom w:val="nil"/>
              <w:right w:val="nil"/>
            </w:tcBorders>
            <w:shd w:val="clear" w:color="auto" w:fill="auto"/>
            <w:vAlign w:val="center"/>
          </w:tcPr>
          <w:p>
            <w:r>
              <w:t/>
            </w: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r>
              <w:t xml:space="preserve"> 泽普县农机局农民农机专业合作社设备配套项目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r>
              <w:t>泽普县农牧机械局　</w:t>
            </w:r>
          </w:p>
        </w:tc>
      </w:tr>
      <w:tr>
        <w:tblPrEx>
          <w:tblLayout w:type="fixed"/>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r>
              <w:t>预算
执行
情况
（万元）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r>
              <w:t>　525.38万元</w:t>
            </w:r>
          </w:p>
        </w:tc>
        <w:tc>
          <w:tcPr>
            <w:tcW w:w="2060" w:type="dxa"/>
            <w:tcBorders>
              <w:top w:val="nil"/>
              <w:left w:val="nil"/>
              <w:bottom w:val="single" w:color="auto" w:sz="4" w:space="0"/>
              <w:right w:val="single" w:color="auto" w:sz="4" w:space="0"/>
            </w:tcBorders>
            <w:shd w:val="clear" w:color="auto" w:fill="auto"/>
            <w:vAlign w:val="center"/>
          </w:tcPr>
          <w:p>
            <w:r>
              <w:t xml:space="preserve"> 执行数：</w:t>
            </w:r>
          </w:p>
        </w:tc>
        <w:tc>
          <w:tcPr>
            <w:tcW w:w="1780" w:type="dxa"/>
            <w:tcBorders>
              <w:top w:val="nil"/>
              <w:left w:val="nil"/>
              <w:bottom w:val="single" w:color="auto" w:sz="4" w:space="0"/>
              <w:right w:val="single" w:color="auto" w:sz="4" w:space="0"/>
            </w:tcBorders>
            <w:shd w:val="clear" w:color="auto" w:fill="auto"/>
            <w:vAlign w:val="center"/>
          </w:tcPr>
          <w:p>
            <w:r>
              <w:t>499.11万元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r>
              <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r>
              <w:t>525.38万元　</w:t>
            </w:r>
          </w:p>
        </w:tc>
        <w:tc>
          <w:tcPr>
            <w:tcW w:w="2060" w:type="dxa"/>
            <w:tcBorders>
              <w:top w:val="nil"/>
              <w:left w:val="nil"/>
              <w:bottom w:val="nil"/>
              <w:right w:val="single" w:color="auto" w:sz="4" w:space="0"/>
            </w:tcBorders>
            <w:shd w:val="clear" w:color="auto" w:fill="auto"/>
            <w:vAlign w:val="center"/>
          </w:tcPr>
          <w:p>
            <w:r>
              <w:t>其中：财政拨款</w:t>
            </w:r>
          </w:p>
        </w:tc>
        <w:tc>
          <w:tcPr>
            <w:tcW w:w="1780" w:type="dxa"/>
            <w:tcBorders>
              <w:top w:val="nil"/>
              <w:left w:val="nil"/>
              <w:bottom w:val="single" w:color="auto" w:sz="4" w:space="0"/>
              <w:right w:val="single" w:color="auto" w:sz="4" w:space="0"/>
            </w:tcBorders>
            <w:shd w:val="clear" w:color="auto" w:fill="auto"/>
            <w:vAlign w:val="center"/>
          </w:tcPr>
          <w:p>
            <w:r>
              <w:t>499.11万元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r>
              <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r>
              <w:t>　</w:t>
            </w:r>
          </w:p>
        </w:tc>
        <w:tc>
          <w:tcPr>
            <w:tcW w:w="2060" w:type="dxa"/>
            <w:tcBorders>
              <w:top w:val="single" w:color="auto" w:sz="4" w:space="0"/>
              <w:left w:val="nil"/>
              <w:bottom w:val="nil"/>
              <w:right w:val="single" w:color="auto" w:sz="4" w:space="0"/>
            </w:tcBorders>
            <w:shd w:val="clear" w:color="auto" w:fill="auto"/>
            <w:vAlign w:val="center"/>
          </w:tcPr>
          <w:p>
            <w:r>
              <w:t>其他资金</w:t>
            </w:r>
          </w:p>
        </w:tc>
        <w:tc>
          <w:tcPr>
            <w:tcW w:w="1780" w:type="dxa"/>
            <w:tcBorders>
              <w:top w:val="nil"/>
              <w:left w:val="nil"/>
              <w:bottom w:val="single" w:color="auto" w:sz="4" w:space="0"/>
              <w:right w:val="single" w:color="auto" w:sz="4" w:space="0"/>
            </w:tcBorders>
            <w:shd w:val="clear" w:color="auto" w:fill="auto"/>
            <w:vAlign w:val="center"/>
          </w:tcPr>
          <w:p>
            <w: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r>
              <w:t>年度
目标
完成
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r>
              <w:t/>
            </w: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kern w:val="0"/>
                <w:sz w:val="20"/>
                <w:szCs w:val="20"/>
              </w:rPr>
            </w:pPr>
            <w:r>
              <w:rPr>
                <w:rFonts w:hint="eastAsia" w:ascii="宋体" w:hAnsi="宋体" w:cs="宋体"/>
                <w:kern w:val="0"/>
                <w:sz w:val="20"/>
                <w:szCs w:val="20"/>
              </w:rPr>
              <w:t>目标2：实现农民“生产在家，服务在社”解决劳动力不足的短板；</w:t>
            </w:r>
            <w:r>
              <w:t>　目标1：建立带贫机制，吸纳贫困户就业，帮助贫困户脱贫；目标2：实现农民“生产在家，服务在社”解决劳动力不足的短板；目标3：加快现代化农业机械推广，引导农业向现代化迈进；目标4：完成3个农机合作社机具配套工作，对古勒巴格乡、依克苏乡、阿依库勒乡对应的农机合作社配套新型农机具，包括联合收割机、饲料青贮打包机、播种机、果树开沟施肥机、联合整地机、圆盘果树修剪机等23种，累计91台。</w:t>
            </w:r>
          </w:p>
          <w:p>
            <w:pPr>
              <w:widowControl/>
              <w:jc w:val="left"/>
              <w:rPr>
                <w:rFonts w:hint="eastAsia" w:ascii="宋体" w:hAnsi="宋体" w:cs="宋体"/>
                <w:kern w:val="0"/>
                <w:sz w:val="20"/>
                <w:szCs w:val="20"/>
              </w:rPr>
            </w:pPr>
            <w:r>
              <w:rPr>
                <w:rFonts w:hint="eastAsia" w:ascii="宋体" w:hAnsi="宋体" w:cs="宋体"/>
                <w:kern w:val="0"/>
                <w:sz w:val="20"/>
                <w:szCs w:val="20"/>
              </w:rPr>
              <w:t>目标3：加快现代化农业机械推广，引导农业向现代化迈进；</w:t>
            </w:r>
          </w:p>
          <w:p>
            <w:pPr>
              <w:widowControl/>
              <w:jc w:val="left"/>
              <w:rPr>
                <w:rFonts w:ascii="宋体" w:hAnsi="宋体" w:cs="宋体"/>
                <w:kern w:val="0"/>
                <w:sz w:val="20"/>
                <w:szCs w:val="20"/>
              </w:rPr>
            </w:pPr>
            <w:r>
              <w:rPr>
                <w:rFonts w:hint="eastAsia" w:ascii="宋体" w:hAnsi="宋体" w:cs="宋体"/>
                <w:kern w:val="0"/>
                <w:sz w:val="20"/>
                <w:szCs w:val="20"/>
              </w:rPr>
              <w:t>目标4：完成3个农机合作社机具配套工作，对古勒巴格乡、依克苏乡、阿依库勒乡对应的农机合作社配套新型农机具，包括联合收割机、饲料青贮打包机、播种机、果树开沟施肥机、联合整地机、圆盘果树修剪机等23种，累计91台。</w:t>
            </w:r>
          </w:p>
        </w:tc>
        <w:tc>
          <w:tcPr>
            <w:tcW w:w="3840" w:type="dxa"/>
            <w:gridSpan w:val="2"/>
            <w:tcBorders>
              <w:top w:val="single" w:color="auto" w:sz="4" w:space="0"/>
              <w:left w:val="nil"/>
              <w:bottom w:val="single" w:color="auto" w:sz="4" w:space="0"/>
              <w:right w:val="single" w:color="000000" w:sz="4" w:space="0"/>
            </w:tcBorders>
            <w:shd w:val="clear" w:color="auto" w:fill="auto"/>
          </w:tcPr>
          <w:p>
            <w:r>
              <w:t>已初步完成3个农机合作社机具配套工作，包括联合收割机、圆盘果树修剪机等23种，已累计供货91台，资金拨付达95% ；带动就业人数87人，贫困户18人，年累计收入67.85万元，纯收入27.14万元 ；初步实现新技术推广。</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r>
              <w:t>年度
绩效
指标
完成
情况</w:t>
            </w:r>
          </w:p>
        </w:tc>
        <w:tc>
          <w:tcPr>
            <w:tcW w:w="1140" w:type="dxa"/>
            <w:tcBorders>
              <w:top w:val="nil"/>
              <w:left w:val="nil"/>
              <w:bottom w:val="nil"/>
              <w:right w:val="single" w:color="auto" w:sz="4" w:space="0"/>
            </w:tcBorders>
            <w:shd w:val="clear" w:color="auto" w:fill="auto"/>
            <w:vAlign w:val="center"/>
          </w:tcPr>
          <w:p>
            <w:r>
              <w:t>一级指标</w:t>
            </w:r>
          </w:p>
        </w:tc>
        <w:tc>
          <w:tcPr>
            <w:tcW w:w="1360" w:type="dxa"/>
            <w:tcBorders>
              <w:top w:val="nil"/>
              <w:left w:val="nil"/>
              <w:bottom w:val="single" w:color="auto" w:sz="4" w:space="0"/>
              <w:right w:val="single" w:color="auto" w:sz="4" w:space="0"/>
            </w:tcBorders>
            <w:shd w:val="clear" w:color="auto" w:fill="auto"/>
            <w:vAlign w:val="center"/>
          </w:tcPr>
          <w:p>
            <w: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三级指标</w:t>
            </w:r>
          </w:p>
        </w:tc>
        <w:tc>
          <w:tcPr>
            <w:tcW w:w="2060" w:type="dxa"/>
            <w:tcBorders>
              <w:top w:val="nil"/>
              <w:left w:val="nil"/>
              <w:bottom w:val="single" w:color="auto" w:sz="4" w:space="0"/>
              <w:right w:val="single" w:color="auto" w:sz="4" w:space="0"/>
            </w:tcBorders>
            <w:shd w:val="clear" w:color="auto" w:fill="auto"/>
            <w:vAlign w:val="center"/>
          </w:tcPr>
          <w:p>
            <w: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r>
              <w:t>实际完成指标值（包含数字及文字描述）</w:t>
            </w:r>
          </w:p>
        </w:tc>
      </w:tr>
      <w:tr>
        <w:tblPrEx>
          <w:tblLayout w:type="fixed"/>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指标1：三个农机合作社所配备的农机具配套数量</w:t>
            </w:r>
          </w:p>
        </w:tc>
        <w:tc>
          <w:tcPr>
            <w:tcW w:w="2060" w:type="dxa"/>
            <w:tcBorders>
              <w:top w:val="nil"/>
              <w:left w:val="nil"/>
              <w:bottom w:val="single" w:color="auto" w:sz="4" w:space="0"/>
              <w:right w:val="single" w:color="auto" w:sz="4" w:space="0"/>
            </w:tcBorders>
            <w:shd w:val="clear" w:color="auto" w:fill="auto"/>
            <w:vAlign w:val="center"/>
          </w:tcPr>
          <w:p>
            <w:r>
              <w:t>　91台</w:t>
            </w:r>
          </w:p>
        </w:tc>
        <w:tc>
          <w:tcPr>
            <w:tcW w:w="1780" w:type="dxa"/>
            <w:tcBorders>
              <w:top w:val="nil"/>
              <w:left w:val="nil"/>
              <w:bottom w:val="single" w:color="auto" w:sz="4" w:space="0"/>
              <w:right w:val="single" w:color="auto" w:sz="4" w:space="0"/>
            </w:tcBorders>
            <w:shd w:val="clear" w:color="auto" w:fill="auto"/>
            <w:vAlign w:val="center"/>
          </w:tcPr>
          <w:p>
            <w:r>
              <w:t>　91台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r>
              <w:t/>
            </w:r>
          </w:p>
        </w:tc>
        <w:tc>
          <w:tcPr>
            <w:tcW w:w="1360" w:type="dxa"/>
            <w:vMerge w:val="continue"/>
            <w:tcBorders>
              <w:top w:val="nil"/>
              <w:left w:val="single" w:color="auto" w:sz="4" w:space="0"/>
              <w:bottom w:val="single" w:color="000000" w:sz="4" w:space="0"/>
              <w:right w:val="single" w:color="auto" w:sz="4" w:space="0"/>
            </w:tcBorders>
            <w:vAlign w:val="center"/>
          </w:tcPr>
          <w:p>
            <w:r>
              <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指标2：带动贫困户就业人数</w:t>
            </w:r>
          </w:p>
        </w:tc>
        <w:tc>
          <w:tcPr>
            <w:tcW w:w="2060" w:type="dxa"/>
            <w:tcBorders>
              <w:top w:val="nil"/>
              <w:left w:val="nil"/>
              <w:bottom w:val="single" w:color="auto" w:sz="4" w:space="0"/>
              <w:right w:val="single" w:color="auto" w:sz="4" w:space="0"/>
            </w:tcBorders>
            <w:shd w:val="clear" w:color="auto" w:fill="auto"/>
            <w:vAlign w:val="center"/>
          </w:tcPr>
          <w:p>
            <w:r>
              <w:t>≥18人</w:t>
            </w:r>
          </w:p>
        </w:tc>
        <w:tc>
          <w:tcPr>
            <w:tcW w:w="1780" w:type="dxa"/>
            <w:tcBorders>
              <w:top w:val="nil"/>
              <w:left w:val="nil"/>
              <w:bottom w:val="single" w:color="auto" w:sz="4" w:space="0"/>
              <w:right w:val="single" w:color="auto" w:sz="4" w:space="0"/>
            </w:tcBorders>
            <w:shd w:val="clear" w:color="auto" w:fill="auto"/>
            <w:vAlign w:val="center"/>
          </w:tcPr>
          <w:p>
            <w:r>
              <w:t>18人</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r>
              <w:t/>
            </w:r>
          </w:p>
        </w:tc>
        <w:tc>
          <w:tcPr>
            <w:tcW w:w="1360" w:type="dxa"/>
            <w:vMerge w:val="continue"/>
            <w:tcBorders>
              <w:top w:val="nil"/>
              <w:left w:val="single" w:color="auto" w:sz="4" w:space="0"/>
              <w:bottom w:val="single" w:color="000000" w:sz="4" w:space="0"/>
              <w:right w:val="single" w:color="auto" w:sz="4" w:space="0"/>
            </w:tcBorders>
            <w:vAlign w:val="center"/>
          </w:tcPr>
          <w:p>
            <w:r>
              <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指标3：带动非贫困户就业人数</w:t>
            </w:r>
          </w:p>
        </w:tc>
        <w:tc>
          <w:tcPr>
            <w:tcW w:w="2060" w:type="dxa"/>
            <w:tcBorders>
              <w:top w:val="nil"/>
              <w:left w:val="nil"/>
              <w:bottom w:val="single" w:color="auto" w:sz="4" w:space="0"/>
              <w:right w:val="single" w:color="auto" w:sz="4" w:space="0"/>
            </w:tcBorders>
            <w:shd w:val="clear" w:color="auto" w:fill="auto"/>
            <w:vAlign w:val="center"/>
          </w:tcPr>
          <w:p>
            <w:r>
              <w:t>≥87人</w:t>
            </w:r>
          </w:p>
        </w:tc>
        <w:tc>
          <w:tcPr>
            <w:tcW w:w="1780" w:type="dxa"/>
            <w:tcBorders>
              <w:top w:val="nil"/>
              <w:left w:val="nil"/>
              <w:bottom w:val="single" w:color="auto" w:sz="4" w:space="0"/>
              <w:right w:val="single" w:color="auto" w:sz="4" w:space="0"/>
            </w:tcBorders>
            <w:shd w:val="clear" w:color="auto" w:fill="auto"/>
            <w:vAlign w:val="center"/>
          </w:tcPr>
          <w:p>
            <w:r>
              <w:t>87人</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r>
              <w:t/>
            </w:r>
          </w:p>
        </w:tc>
        <w:tc>
          <w:tcPr>
            <w:tcW w:w="1360" w:type="dxa"/>
            <w:vMerge w:val="continue"/>
            <w:tcBorders>
              <w:top w:val="nil"/>
              <w:left w:val="single" w:color="auto" w:sz="4" w:space="0"/>
              <w:bottom w:val="single" w:color="000000" w:sz="4" w:space="0"/>
              <w:right w:val="single" w:color="auto" w:sz="4" w:space="0"/>
            </w:tcBorders>
            <w:vAlign w:val="center"/>
          </w:tcPr>
          <w:p>
            <w:r>
              <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指标4：可完成农业机械作业面积</w:t>
            </w:r>
          </w:p>
        </w:tc>
        <w:tc>
          <w:tcPr>
            <w:tcW w:w="2060" w:type="dxa"/>
            <w:tcBorders>
              <w:top w:val="nil"/>
              <w:left w:val="nil"/>
              <w:bottom w:val="single" w:color="auto" w:sz="4" w:space="0"/>
              <w:right w:val="single" w:color="auto" w:sz="4" w:space="0"/>
            </w:tcBorders>
            <w:shd w:val="clear" w:color="auto" w:fill="auto"/>
            <w:vAlign w:val="center"/>
          </w:tcPr>
          <w:p>
            <w:r>
              <w:t>≥1.2万亩</w:t>
            </w:r>
          </w:p>
        </w:tc>
        <w:tc>
          <w:tcPr>
            <w:tcW w:w="1780" w:type="dxa"/>
            <w:tcBorders>
              <w:top w:val="nil"/>
              <w:left w:val="nil"/>
              <w:bottom w:val="single" w:color="auto" w:sz="4" w:space="0"/>
              <w:right w:val="single" w:color="auto" w:sz="4" w:space="0"/>
            </w:tcBorders>
            <w:shd w:val="clear" w:color="auto" w:fill="auto"/>
            <w:vAlign w:val="center"/>
          </w:tcPr>
          <w:p>
            <w:r>
              <w:t>1.2万亩</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r>
              <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指标1：委托招标完成采购工作，确保机具质优价廉。</w:t>
            </w:r>
          </w:p>
        </w:tc>
        <w:tc>
          <w:tcPr>
            <w:tcW w:w="2060" w:type="dxa"/>
            <w:tcBorders>
              <w:top w:val="nil"/>
              <w:left w:val="nil"/>
              <w:bottom w:val="single" w:color="auto" w:sz="4" w:space="0"/>
              <w:right w:val="single" w:color="auto" w:sz="4" w:space="0"/>
            </w:tcBorders>
            <w:shd w:val="clear" w:color="auto" w:fill="auto"/>
            <w:vAlign w:val="center"/>
          </w:tcPr>
          <w:p>
            <w:r>
              <w:t>　100%</w:t>
            </w:r>
          </w:p>
        </w:tc>
        <w:tc>
          <w:tcPr>
            <w:tcW w:w="1780" w:type="dxa"/>
            <w:tcBorders>
              <w:top w:val="nil"/>
              <w:left w:val="nil"/>
              <w:bottom w:val="single" w:color="auto" w:sz="4" w:space="0"/>
              <w:right w:val="single" w:color="auto" w:sz="4" w:space="0"/>
            </w:tcBorders>
            <w:shd w:val="clear" w:color="auto" w:fill="auto"/>
            <w:vAlign w:val="center"/>
          </w:tcPr>
          <w:p>
            <w: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r>
              <w:t/>
            </w:r>
          </w:p>
        </w:tc>
        <w:tc>
          <w:tcPr>
            <w:tcW w:w="1360" w:type="dxa"/>
            <w:vMerge w:val="continue"/>
            <w:tcBorders>
              <w:top w:val="nil"/>
              <w:left w:val="single" w:color="auto" w:sz="4" w:space="0"/>
              <w:bottom w:val="single" w:color="000000" w:sz="4" w:space="0"/>
              <w:right w:val="single" w:color="auto" w:sz="4" w:space="0"/>
            </w:tcBorders>
            <w:vAlign w:val="center"/>
          </w:tcPr>
          <w:p>
            <w:r>
              <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指标2：农机具作业合格率</w:t>
            </w:r>
          </w:p>
        </w:tc>
        <w:tc>
          <w:tcPr>
            <w:tcW w:w="2060" w:type="dxa"/>
            <w:tcBorders>
              <w:top w:val="nil"/>
              <w:left w:val="nil"/>
              <w:bottom w:val="single" w:color="auto" w:sz="4" w:space="0"/>
              <w:right w:val="single" w:color="auto" w:sz="4" w:space="0"/>
            </w:tcBorders>
            <w:shd w:val="clear" w:color="auto" w:fill="auto"/>
            <w:vAlign w:val="center"/>
          </w:tcPr>
          <w:p>
            <w:r>
              <w:t>　≥98%</w:t>
            </w:r>
          </w:p>
        </w:tc>
        <w:tc>
          <w:tcPr>
            <w:tcW w:w="1780" w:type="dxa"/>
            <w:tcBorders>
              <w:top w:val="nil"/>
              <w:left w:val="nil"/>
              <w:bottom w:val="single" w:color="auto" w:sz="4" w:space="0"/>
              <w:right w:val="single" w:color="auto" w:sz="4" w:space="0"/>
            </w:tcBorders>
            <w:shd w:val="clear" w:color="auto" w:fill="auto"/>
            <w:vAlign w:val="center"/>
          </w:tcPr>
          <w:p>
            <w:r>
              <w:t>　98%</w:t>
            </w:r>
          </w:p>
        </w:tc>
      </w:tr>
      <w:tr>
        <w:tblPrEx>
          <w:tblLayout w:type="fixed"/>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r>
              <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指标1：项目按期完成率</w:t>
            </w:r>
          </w:p>
        </w:tc>
        <w:tc>
          <w:tcPr>
            <w:tcW w:w="2060" w:type="dxa"/>
            <w:tcBorders>
              <w:top w:val="nil"/>
              <w:left w:val="nil"/>
              <w:bottom w:val="single" w:color="auto" w:sz="4" w:space="0"/>
              <w:right w:val="single" w:color="auto" w:sz="4" w:space="0"/>
            </w:tcBorders>
            <w:shd w:val="clear" w:color="auto" w:fill="auto"/>
            <w:vAlign w:val="center"/>
          </w:tcPr>
          <w:p>
            <w:r>
              <w:t>　≥98%</w:t>
            </w:r>
          </w:p>
        </w:tc>
        <w:tc>
          <w:tcPr>
            <w:tcW w:w="1780" w:type="dxa"/>
            <w:tcBorders>
              <w:top w:val="nil"/>
              <w:left w:val="nil"/>
              <w:bottom w:val="single" w:color="auto" w:sz="4" w:space="0"/>
              <w:right w:val="single" w:color="auto" w:sz="4" w:space="0"/>
            </w:tcBorders>
            <w:shd w:val="clear" w:color="auto" w:fill="auto"/>
            <w:vAlign w:val="center"/>
          </w:tcPr>
          <w:p>
            <w:r>
              <w:t>　98%</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r>
              <w:t/>
            </w:r>
          </w:p>
        </w:tc>
        <w:tc>
          <w:tcPr>
            <w:tcW w:w="1360" w:type="dxa"/>
            <w:vMerge w:val="continue"/>
            <w:tcBorders>
              <w:top w:val="nil"/>
              <w:left w:val="single" w:color="auto" w:sz="4" w:space="0"/>
              <w:bottom w:val="single" w:color="000000" w:sz="4" w:space="0"/>
              <w:right w:val="single" w:color="auto" w:sz="4" w:space="0"/>
            </w:tcBorders>
            <w:vAlign w:val="center"/>
          </w:tcPr>
          <w:p>
            <w:r>
              <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指标2：资金按期拨付率</w:t>
            </w:r>
          </w:p>
        </w:tc>
        <w:tc>
          <w:tcPr>
            <w:tcW w:w="2060" w:type="dxa"/>
            <w:tcBorders>
              <w:top w:val="nil"/>
              <w:left w:val="nil"/>
              <w:bottom w:val="single" w:color="auto" w:sz="4" w:space="0"/>
              <w:right w:val="single" w:color="auto" w:sz="4" w:space="0"/>
            </w:tcBorders>
            <w:shd w:val="clear" w:color="auto" w:fill="auto"/>
            <w:vAlign w:val="center"/>
          </w:tcPr>
          <w:p>
            <w:r>
              <w:t>　≥95%</w:t>
            </w:r>
          </w:p>
        </w:tc>
        <w:tc>
          <w:tcPr>
            <w:tcW w:w="1780" w:type="dxa"/>
            <w:tcBorders>
              <w:top w:val="nil"/>
              <w:left w:val="nil"/>
              <w:bottom w:val="single" w:color="auto" w:sz="4" w:space="0"/>
              <w:right w:val="single" w:color="auto" w:sz="4" w:space="0"/>
            </w:tcBorders>
            <w:shd w:val="clear" w:color="auto" w:fill="auto"/>
            <w:vAlign w:val="center"/>
          </w:tcPr>
          <w:p>
            <w:r>
              <w:t>　95%</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r>
              <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指标1：农机专业合作社设备配套项目农机具采购价格</w:t>
            </w:r>
          </w:p>
        </w:tc>
        <w:tc>
          <w:tcPr>
            <w:tcW w:w="2060" w:type="dxa"/>
            <w:tcBorders>
              <w:top w:val="nil"/>
              <w:left w:val="nil"/>
              <w:bottom w:val="single" w:color="auto" w:sz="4" w:space="0"/>
              <w:right w:val="single" w:color="auto" w:sz="4" w:space="0"/>
            </w:tcBorders>
            <w:shd w:val="clear" w:color="auto" w:fill="auto"/>
            <w:vAlign w:val="center"/>
          </w:tcPr>
          <w:p>
            <w:r>
              <w:t>　525.38万元</w:t>
            </w:r>
          </w:p>
        </w:tc>
        <w:tc>
          <w:tcPr>
            <w:tcW w:w="1780" w:type="dxa"/>
            <w:tcBorders>
              <w:top w:val="nil"/>
              <w:left w:val="nil"/>
              <w:bottom w:val="single" w:color="auto" w:sz="4" w:space="0"/>
              <w:right w:val="single" w:color="auto" w:sz="4" w:space="0"/>
            </w:tcBorders>
            <w:shd w:val="clear" w:color="auto" w:fill="auto"/>
            <w:vAlign w:val="center"/>
          </w:tcPr>
          <w:p>
            <w:r>
              <w:t>　525.38万元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r>
              <w:t/>
            </w:r>
          </w:p>
        </w:tc>
        <w:tc>
          <w:tcPr>
            <w:tcW w:w="1360" w:type="dxa"/>
            <w:vMerge w:val="continue"/>
            <w:tcBorders>
              <w:top w:val="nil"/>
              <w:left w:val="single" w:color="auto" w:sz="4" w:space="0"/>
              <w:bottom w:val="single" w:color="000000" w:sz="4" w:space="0"/>
              <w:right w:val="single" w:color="auto" w:sz="4" w:space="0"/>
            </w:tcBorders>
            <w:vAlign w:val="center"/>
          </w:tcPr>
          <w:p>
            <w:r>
              <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指标2：财政补助资金占项目总投资比重</w:t>
            </w:r>
          </w:p>
        </w:tc>
        <w:tc>
          <w:tcPr>
            <w:tcW w:w="2060" w:type="dxa"/>
            <w:tcBorders>
              <w:top w:val="nil"/>
              <w:left w:val="nil"/>
              <w:bottom w:val="single" w:color="auto" w:sz="4" w:space="0"/>
              <w:right w:val="single" w:color="auto" w:sz="4" w:space="0"/>
            </w:tcBorders>
            <w:shd w:val="clear" w:color="auto" w:fill="auto"/>
            <w:vAlign w:val="center"/>
          </w:tcPr>
          <w:p>
            <w:pPr>
              <w:pStyle w:val="2"/>
              <w:jc w:val="left"/>
              <w:rPr>
                <w:rFonts w:hint="eastAsia"/>
                <w:lang w:val="en-US" w:eastAsia="zh-CN"/>
              </w:rPr>
            </w:pPr>
            <w:r>
              <w:t>　100%</w:t>
            </w:r>
          </w:p>
        </w:tc>
        <w:tc>
          <w:tcPr>
            <w:tcW w:w="1780" w:type="dxa"/>
            <w:tcBorders>
              <w:top w:val="nil"/>
              <w:left w:val="nil"/>
              <w:bottom w:val="single" w:color="auto" w:sz="4" w:space="0"/>
              <w:right w:val="single" w:color="auto" w:sz="4" w:space="0"/>
            </w:tcBorders>
            <w:shd w:val="clear" w:color="auto" w:fill="auto"/>
            <w:vAlign w:val="center"/>
          </w:tcPr>
          <w:p>
            <w:pPr>
              <w:pStyle w:val="2"/>
              <w:jc w:val="left"/>
              <w:rPr>
                <w:rFonts w:ascii="宋体" w:hAnsi="宋体" w:cs="宋体"/>
                <w:kern w:val="0"/>
                <w:sz w:val="20"/>
                <w:szCs w:val="20"/>
              </w:rPr>
            </w:pPr>
            <w: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r>
              <w:t>项目效果指标</w:t>
            </w:r>
          </w:p>
        </w:tc>
        <w:tc>
          <w:tcPr>
            <w:tcW w:w="1360" w:type="dxa"/>
            <w:tcBorders>
              <w:top w:val="nil"/>
              <w:left w:val="single" w:color="auto" w:sz="4" w:space="0"/>
              <w:bottom w:val="single" w:color="000000" w:sz="4" w:space="0"/>
              <w:right w:val="single" w:color="auto" w:sz="4" w:space="0"/>
            </w:tcBorders>
            <w:shd w:val="clear" w:color="auto" w:fill="auto"/>
            <w:vAlign w:val="center"/>
          </w:tcPr>
          <w:p>
            <w:r>
              <w:t>经济效益
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指标1：农机合作社累计年纯收入</w:t>
            </w:r>
          </w:p>
        </w:tc>
        <w:tc>
          <w:tcPr>
            <w:tcW w:w="2060" w:type="dxa"/>
            <w:tcBorders>
              <w:top w:val="nil"/>
              <w:left w:val="nil"/>
              <w:bottom w:val="single" w:color="auto" w:sz="4" w:space="0"/>
              <w:right w:val="single" w:color="auto" w:sz="4" w:space="0"/>
            </w:tcBorders>
            <w:shd w:val="clear" w:color="auto" w:fill="auto"/>
            <w:vAlign w:val="center"/>
          </w:tcPr>
          <w:p>
            <w:r>
              <w:t>≥28.8万元　</w:t>
            </w:r>
          </w:p>
        </w:tc>
        <w:tc>
          <w:tcPr>
            <w:tcW w:w="1780" w:type="dxa"/>
            <w:tcBorders>
              <w:top w:val="nil"/>
              <w:left w:val="nil"/>
              <w:bottom w:val="single" w:color="auto" w:sz="4" w:space="0"/>
              <w:right w:val="single" w:color="auto" w:sz="4" w:space="0"/>
            </w:tcBorders>
            <w:shd w:val="clear" w:color="auto" w:fill="auto"/>
            <w:vAlign w:val="center"/>
          </w:tcPr>
          <w:p>
            <w:r>
              <w:t>28.8万元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nil"/>
              <w:left w:val="single" w:color="auto" w:sz="4" w:space="0"/>
              <w:bottom w:val="single" w:color="auto" w:sz="4" w:space="0"/>
              <w:right w:val="single" w:color="auto" w:sz="4" w:space="0"/>
            </w:tcBorders>
            <w:vAlign w:val="center"/>
          </w:tcPr>
          <w:p>
            <w:r>
              <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r>
              <w:t>社会效益
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指标1：推进现代化农业机械发展，加强新农机具在地方推广</w:t>
            </w:r>
          </w:p>
        </w:tc>
        <w:tc>
          <w:tcPr>
            <w:tcW w:w="2060" w:type="dxa"/>
            <w:tcBorders>
              <w:top w:val="nil"/>
              <w:left w:val="nil"/>
              <w:bottom w:val="single" w:color="auto" w:sz="4" w:space="0"/>
              <w:right w:val="single" w:color="auto" w:sz="4" w:space="0"/>
            </w:tcBorders>
            <w:shd w:val="clear" w:color="auto" w:fill="auto"/>
            <w:vAlign w:val="center"/>
          </w:tcPr>
          <w:p>
            <w:r>
              <w:t>　≥90%</w:t>
            </w:r>
          </w:p>
        </w:tc>
        <w:tc>
          <w:tcPr>
            <w:tcW w:w="1780" w:type="dxa"/>
            <w:tcBorders>
              <w:top w:val="nil"/>
              <w:left w:val="nil"/>
              <w:bottom w:val="single" w:color="auto" w:sz="4" w:space="0"/>
              <w:right w:val="single" w:color="auto" w:sz="4" w:space="0"/>
            </w:tcBorders>
            <w:shd w:val="clear" w:color="auto" w:fill="auto"/>
            <w:vAlign w:val="center"/>
          </w:tcPr>
          <w:p>
            <w:r>
              <w:t>　90%</w:t>
            </w:r>
          </w:p>
        </w:tc>
      </w:tr>
      <w:tr>
        <w:tblPrEx>
          <w:tblLayout w:type="fixed"/>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nil"/>
              <w:left w:val="single" w:color="auto" w:sz="4" w:space="0"/>
              <w:bottom w:val="single" w:color="auto" w:sz="4" w:space="0"/>
              <w:right w:val="single" w:color="auto" w:sz="4" w:space="0"/>
            </w:tcBorders>
            <w:vAlign w:val="center"/>
          </w:tcPr>
          <w:p>
            <w:r>
              <w:t/>
            </w:r>
          </w:p>
        </w:tc>
        <w:tc>
          <w:tcPr>
            <w:tcW w:w="1360" w:type="dxa"/>
            <w:vMerge w:val="continue"/>
            <w:tcBorders>
              <w:top w:val="nil"/>
              <w:left w:val="single" w:color="auto" w:sz="4" w:space="0"/>
              <w:bottom w:val="single" w:color="000000" w:sz="4" w:space="0"/>
              <w:right w:val="single" w:color="auto" w:sz="4" w:space="0"/>
            </w:tcBorders>
            <w:vAlign w:val="center"/>
          </w:tcPr>
          <w:p>
            <w:r>
              <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指标2：扩大农机作业服务规模，按时按季完成农业生产</w:t>
            </w:r>
          </w:p>
        </w:tc>
        <w:tc>
          <w:tcPr>
            <w:tcW w:w="2060" w:type="dxa"/>
            <w:tcBorders>
              <w:top w:val="nil"/>
              <w:left w:val="nil"/>
              <w:bottom w:val="single" w:color="auto" w:sz="4" w:space="0"/>
              <w:right w:val="single" w:color="auto" w:sz="4" w:space="0"/>
            </w:tcBorders>
            <w:shd w:val="clear" w:color="auto" w:fill="auto"/>
            <w:vAlign w:val="center"/>
          </w:tcPr>
          <w:p>
            <w:r>
              <w:t>　≥95%</w:t>
            </w:r>
          </w:p>
        </w:tc>
        <w:tc>
          <w:tcPr>
            <w:tcW w:w="1780" w:type="dxa"/>
            <w:tcBorders>
              <w:top w:val="nil"/>
              <w:left w:val="nil"/>
              <w:bottom w:val="single" w:color="auto" w:sz="4" w:space="0"/>
              <w:right w:val="single" w:color="auto" w:sz="4" w:space="0"/>
            </w:tcBorders>
            <w:shd w:val="clear" w:color="auto" w:fill="auto"/>
            <w:vAlign w:val="center"/>
          </w:tcPr>
          <w:p>
            <w:r>
              <w:t>　95%</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nil"/>
              <w:left w:val="single" w:color="auto" w:sz="4" w:space="0"/>
              <w:bottom w:val="single" w:color="auto" w:sz="4" w:space="0"/>
              <w:right w:val="single" w:color="auto" w:sz="4" w:space="0"/>
            </w:tcBorders>
            <w:vAlign w:val="center"/>
          </w:tcPr>
          <w:p>
            <w:r>
              <w:t/>
            </w:r>
          </w:p>
        </w:tc>
        <w:tc>
          <w:tcPr>
            <w:tcW w:w="1360" w:type="dxa"/>
            <w:tcBorders>
              <w:top w:val="nil"/>
              <w:left w:val="single" w:color="auto" w:sz="4" w:space="0"/>
              <w:bottom w:val="single" w:color="000000" w:sz="4" w:space="0"/>
              <w:right w:val="single" w:color="auto" w:sz="4" w:space="0"/>
            </w:tcBorders>
            <w:shd w:val="clear" w:color="auto" w:fill="auto"/>
            <w:vAlign w:val="center"/>
          </w:tcPr>
          <w:p>
            <w:r>
              <w:t>生态效益
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指标1：空气污染（发动机排放达到国家标准）</w:t>
            </w:r>
          </w:p>
        </w:tc>
        <w:tc>
          <w:tcPr>
            <w:tcW w:w="2060" w:type="dxa"/>
            <w:tcBorders>
              <w:top w:val="nil"/>
              <w:left w:val="nil"/>
              <w:bottom w:val="single" w:color="auto" w:sz="4" w:space="0"/>
              <w:right w:val="single" w:color="auto" w:sz="4" w:space="0"/>
            </w:tcBorders>
            <w:shd w:val="clear" w:color="auto" w:fill="auto"/>
            <w:vAlign w:val="center"/>
          </w:tcPr>
          <w:p>
            <w:r>
              <w:t>　100%</w:t>
            </w:r>
          </w:p>
        </w:tc>
        <w:tc>
          <w:tcPr>
            <w:tcW w:w="1780" w:type="dxa"/>
            <w:tcBorders>
              <w:top w:val="nil"/>
              <w:left w:val="nil"/>
              <w:bottom w:val="single" w:color="auto" w:sz="4" w:space="0"/>
              <w:right w:val="single" w:color="auto" w:sz="4" w:space="0"/>
            </w:tcBorders>
            <w:shd w:val="clear" w:color="auto" w:fill="auto"/>
            <w:vAlign w:val="center"/>
          </w:tcPr>
          <w:p>
            <w: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nil"/>
              <w:left w:val="single" w:color="auto" w:sz="4" w:space="0"/>
              <w:bottom w:val="single" w:color="auto" w:sz="4" w:space="0"/>
              <w:right w:val="single" w:color="auto" w:sz="4" w:space="0"/>
            </w:tcBorders>
            <w:vAlign w:val="center"/>
          </w:tcPr>
          <w:p>
            <w:r>
              <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r>
              <w:t>可持续影响
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指标1：促进农民就业</w:t>
            </w:r>
          </w:p>
        </w:tc>
        <w:tc>
          <w:tcPr>
            <w:tcW w:w="2060" w:type="dxa"/>
            <w:tcBorders>
              <w:top w:val="nil"/>
              <w:left w:val="nil"/>
              <w:bottom w:val="single" w:color="auto" w:sz="4" w:space="0"/>
              <w:right w:val="single" w:color="auto" w:sz="4" w:space="0"/>
            </w:tcBorders>
            <w:shd w:val="clear" w:color="auto" w:fill="auto"/>
            <w:vAlign w:val="center"/>
          </w:tcPr>
          <w:p>
            <w:r>
              <w:t>　≥90%</w:t>
            </w:r>
          </w:p>
        </w:tc>
        <w:tc>
          <w:tcPr>
            <w:tcW w:w="1780" w:type="dxa"/>
            <w:tcBorders>
              <w:top w:val="nil"/>
              <w:left w:val="nil"/>
              <w:bottom w:val="single" w:color="auto" w:sz="4" w:space="0"/>
              <w:right w:val="single" w:color="auto" w:sz="4" w:space="0"/>
            </w:tcBorders>
            <w:shd w:val="clear" w:color="auto" w:fill="auto"/>
            <w:vAlign w:val="center"/>
          </w:tcPr>
          <w:p>
            <w:r>
              <w:t>　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nil"/>
              <w:left w:val="single" w:color="auto" w:sz="4" w:space="0"/>
              <w:bottom w:val="single" w:color="auto" w:sz="4" w:space="0"/>
              <w:right w:val="single" w:color="auto" w:sz="4" w:space="0"/>
            </w:tcBorders>
            <w:vAlign w:val="center"/>
          </w:tcPr>
          <w:p>
            <w:r>
              <w:t/>
            </w:r>
          </w:p>
        </w:tc>
        <w:tc>
          <w:tcPr>
            <w:tcW w:w="1360" w:type="dxa"/>
            <w:vMerge w:val="continue"/>
            <w:tcBorders>
              <w:top w:val="nil"/>
              <w:left w:val="single" w:color="auto" w:sz="4" w:space="0"/>
              <w:bottom w:val="single" w:color="000000" w:sz="4" w:space="0"/>
              <w:right w:val="single" w:color="auto" w:sz="4" w:space="0"/>
            </w:tcBorders>
            <w:vAlign w:val="center"/>
          </w:tcPr>
          <w:p>
            <w:r>
              <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指标2：现代化农业技术推广</w:t>
            </w:r>
          </w:p>
        </w:tc>
        <w:tc>
          <w:tcPr>
            <w:tcW w:w="2060" w:type="dxa"/>
            <w:tcBorders>
              <w:top w:val="nil"/>
              <w:left w:val="nil"/>
              <w:bottom w:val="single" w:color="auto" w:sz="4" w:space="0"/>
              <w:right w:val="single" w:color="auto" w:sz="4" w:space="0"/>
            </w:tcBorders>
            <w:shd w:val="clear" w:color="auto" w:fill="auto"/>
            <w:vAlign w:val="center"/>
          </w:tcPr>
          <w:p>
            <w:r>
              <w:t>　≥90%</w:t>
            </w:r>
          </w:p>
        </w:tc>
        <w:tc>
          <w:tcPr>
            <w:tcW w:w="1780" w:type="dxa"/>
            <w:tcBorders>
              <w:top w:val="nil"/>
              <w:left w:val="nil"/>
              <w:bottom w:val="single" w:color="auto" w:sz="4" w:space="0"/>
              <w:right w:val="single" w:color="auto" w:sz="4" w:space="0"/>
            </w:tcBorders>
            <w:shd w:val="clear" w:color="auto" w:fill="auto"/>
            <w:vAlign w:val="center"/>
          </w:tcPr>
          <w:p>
            <w:r>
              <w:t>　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nil"/>
              <w:left w:val="single" w:color="auto" w:sz="4" w:space="0"/>
              <w:bottom w:val="single" w:color="000000" w:sz="4" w:space="0"/>
              <w:right w:val="single" w:color="auto" w:sz="4" w:space="0"/>
            </w:tcBorders>
            <w:vAlign w:val="center"/>
          </w:tcPr>
          <w:p>
            <w:r>
              <w:t/>
            </w:r>
          </w:p>
        </w:tc>
        <w:tc>
          <w:tcPr>
            <w:tcW w:w="1360" w:type="dxa"/>
            <w:vMerge w:val="continue"/>
            <w:tcBorders>
              <w:top w:val="nil"/>
              <w:left w:val="single" w:color="auto" w:sz="4" w:space="0"/>
              <w:bottom w:val="single" w:color="000000" w:sz="4" w:space="0"/>
              <w:right w:val="single" w:color="auto" w:sz="4" w:space="0"/>
            </w:tcBorders>
            <w:vAlign w:val="center"/>
          </w:tcPr>
          <w:p>
            <w:r>
              <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指标1：服务农业生产群众满意度</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t>≥90%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t>90%　</w:t>
            </w:r>
          </w:p>
        </w:tc>
      </w:tr>
    </w:tbl>
    <w:p>
      <w:pPr>
        <w:spacing w:line="540" w:lineRule="exact"/>
        <w:rPr>
          <w:rStyle w:val="18"/>
          <w:rFonts w:hint="eastAsia" w:asciiTheme="minorEastAsia" w:hAnsiTheme="minorEastAsia" w:eastAsiaTheme="minorEastAsia"/>
          <w:b w:val="0"/>
          <w:spacing w:val="-4"/>
          <w:sz w:val="20"/>
          <w:szCs w:val="32"/>
        </w:rPr>
      </w:pPr>
      <w:r>
        <w:rPr>
          <w:rStyle w:val="18"/>
          <w:rFonts w:hint="eastAsia" w:asciiTheme="minorEastAsia" w:hAnsiTheme="minorEastAsia" w:eastAsiaTheme="minorEastAsia"/>
          <w:b w:val="0"/>
          <w:spacing w:val="-4"/>
          <w:sz w:val="20"/>
          <w:szCs w:val="32"/>
        </w:rPr>
        <w:t xml:space="preserve">经办人：  </w:t>
      </w:r>
      <w:r>
        <w:rPr>
          <w:rStyle w:val="18"/>
          <w:rFonts w:hint="eastAsia" w:asciiTheme="minorEastAsia" w:hAnsiTheme="minorEastAsia" w:eastAsiaTheme="minorEastAsia"/>
          <w:b w:val="0"/>
          <w:spacing w:val="-4"/>
          <w:sz w:val="20"/>
          <w:szCs w:val="32"/>
          <w:lang w:eastAsia="zh-CN"/>
        </w:rPr>
        <w:t>王恒</w:t>
      </w:r>
      <w:r>
        <w:rPr>
          <w:rStyle w:val="18"/>
          <w:rFonts w:hint="eastAsia" w:asciiTheme="minorEastAsia" w:hAnsiTheme="minorEastAsia" w:eastAsiaTheme="minorEastAsia"/>
          <w:b w:val="0"/>
          <w:spacing w:val="-4"/>
          <w:sz w:val="20"/>
          <w:szCs w:val="32"/>
          <w:lang w:val="en-US" w:eastAsia="zh-CN"/>
        </w:rPr>
        <w:t xml:space="preserve">        </w:t>
      </w:r>
      <w:r>
        <w:rPr>
          <w:rStyle w:val="18"/>
          <w:rFonts w:hint="eastAsia" w:asciiTheme="minorEastAsia" w:hAnsiTheme="minorEastAsia" w:eastAsiaTheme="minorEastAsia"/>
          <w:b w:val="0"/>
          <w:spacing w:val="-4"/>
          <w:sz w:val="20"/>
          <w:szCs w:val="32"/>
        </w:rPr>
        <w:t xml:space="preserve">   单位负责人：    </w:t>
      </w:r>
      <w:r>
        <w:rPr>
          <w:rStyle w:val="18"/>
          <w:rFonts w:hint="eastAsia" w:asciiTheme="minorEastAsia" w:hAnsiTheme="minorEastAsia" w:eastAsiaTheme="minorEastAsia"/>
          <w:b w:val="0"/>
          <w:spacing w:val="-4"/>
          <w:sz w:val="20"/>
          <w:szCs w:val="32"/>
          <w:lang w:eastAsia="zh-CN"/>
        </w:rPr>
        <w:t>李乾图</w:t>
      </w:r>
      <w:r>
        <w:rPr>
          <w:rStyle w:val="18"/>
          <w:rFonts w:hint="eastAsia" w:asciiTheme="minorEastAsia" w:hAnsiTheme="minorEastAsia" w:eastAsiaTheme="minorEastAsia"/>
          <w:b w:val="0"/>
          <w:spacing w:val="-4"/>
          <w:sz w:val="20"/>
          <w:szCs w:val="32"/>
        </w:rPr>
        <w:t xml:space="preserve">             上报时间： </w:t>
      </w:r>
      <w:r>
        <w:rPr>
          <w:rStyle w:val="18"/>
          <w:rFonts w:hint="eastAsia" w:asciiTheme="minorEastAsia" w:hAnsiTheme="minorEastAsia" w:eastAsiaTheme="minorEastAsia"/>
          <w:b w:val="0"/>
          <w:spacing w:val="-4"/>
          <w:sz w:val="20"/>
          <w:szCs w:val="32"/>
          <w:lang w:val="en-US" w:eastAsia="zh-CN"/>
        </w:rPr>
        <w:t>2018</w:t>
      </w:r>
      <w:r>
        <w:rPr>
          <w:rStyle w:val="18"/>
          <w:rFonts w:hint="eastAsia" w:asciiTheme="minorEastAsia" w:hAnsiTheme="minorEastAsia" w:eastAsiaTheme="minorEastAsia"/>
          <w:b w:val="0"/>
          <w:spacing w:val="-4"/>
          <w:sz w:val="20"/>
          <w:szCs w:val="32"/>
        </w:rPr>
        <w:t xml:space="preserve"> 年 </w:t>
      </w:r>
      <w:r>
        <w:rPr>
          <w:rStyle w:val="18"/>
          <w:rFonts w:hint="eastAsia" w:asciiTheme="minorEastAsia" w:hAnsiTheme="minorEastAsia" w:eastAsiaTheme="minorEastAsia"/>
          <w:b w:val="0"/>
          <w:spacing w:val="-4"/>
          <w:sz w:val="20"/>
          <w:szCs w:val="32"/>
          <w:lang w:val="en-US" w:eastAsia="zh-CN"/>
        </w:rPr>
        <w:t>12</w:t>
      </w:r>
      <w:r>
        <w:rPr>
          <w:rStyle w:val="18"/>
          <w:rFonts w:hint="eastAsia" w:asciiTheme="minorEastAsia" w:hAnsiTheme="minorEastAsia" w:eastAsiaTheme="minorEastAsia"/>
          <w:b w:val="0"/>
          <w:spacing w:val="-4"/>
          <w:sz w:val="20"/>
          <w:szCs w:val="32"/>
        </w:rPr>
        <w:t xml:space="preserve">月 </w:t>
      </w:r>
      <w:r>
        <w:rPr>
          <w:rStyle w:val="18"/>
          <w:rFonts w:hint="eastAsia" w:asciiTheme="minorEastAsia" w:hAnsiTheme="minorEastAsia" w:eastAsiaTheme="minorEastAsia"/>
          <w:b w:val="0"/>
          <w:spacing w:val="-4"/>
          <w:sz w:val="20"/>
          <w:szCs w:val="32"/>
          <w:lang w:val="en-US" w:eastAsia="zh-CN"/>
        </w:rPr>
        <w:t>26</w:t>
      </w:r>
      <w:r>
        <w:rPr>
          <w:rStyle w:val="18"/>
          <w:rFonts w:hint="eastAsia" w:asciiTheme="minorEastAsia" w:hAnsiTheme="minorEastAsia" w:eastAsiaTheme="minorEastAsia"/>
          <w:b w:val="0"/>
          <w:spacing w:val="-4"/>
          <w:sz w:val="20"/>
          <w:szCs w:val="32"/>
        </w:rPr>
        <w:t xml:space="preserve"> 日            </w:t>
      </w:r>
    </w:p>
    <w:p>
      <w:pPr>
        <w:spacing w:line="540" w:lineRule="exact"/>
        <w:rPr>
          <w:rStyle w:val="18"/>
          <w:rFonts w:hint="eastAsia" w:asciiTheme="minorEastAsia" w:hAnsiTheme="minorEastAsia" w:eastAsiaTheme="minorEastAsia"/>
          <w:b w:val="0"/>
          <w:spacing w:val="-4"/>
          <w:sz w:val="20"/>
          <w:szCs w:val="32"/>
          <w:lang w:val="en-US" w:eastAsia="zh-CN"/>
        </w:rPr>
      </w:pPr>
      <w:r>
        <w:rPr>
          <w:rStyle w:val="18"/>
          <w:rFonts w:hint="eastAsia" w:asciiTheme="minorEastAsia" w:hAnsiTheme="minorEastAsia" w:eastAsiaTheme="minorEastAsia"/>
          <w:b w:val="0"/>
          <w:spacing w:val="-4"/>
          <w:sz w:val="20"/>
          <w:szCs w:val="32"/>
        </w:rPr>
        <w:t xml:space="preserve">联系方式： </w:t>
      </w:r>
      <w:r>
        <w:rPr>
          <w:rStyle w:val="18"/>
          <w:rFonts w:hint="eastAsia" w:asciiTheme="minorEastAsia" w:hAnsiTheme="minorEastAsia" w:eastAsiaTheme="minorEastAsia"/>
          <w:b w:val="0"/>
          <w:spacing w:val="-4"/>
          <w:sz w:val="20"/>
          <w:szCs w:val="32"/>
          <w:lang w:val="en-US" w:eastAsia="zh-CN"/>
        </w:rPr>
        <w:t>18693717998</w:t>
      </w:r>
      <w:r>
        <w:rPr>
          <w:rStyle w:val="18"/>
          <w:rFonts w:hint="eastAsia" w:asciiTheme="minorEastAsia" w:hAnsiTheme="minorEastAsia" w:eastAsiaTheme="minorEastAsia"/>
          <w:b w:val="0"/>
          <w:spacing w:val="-4"/>
          <w:sz w:val="20"/>
          <w:szCs w:val="32"/>
        </w:rPr>
        <w:t xml:space="preserve">    联系方式：</w:t>
      </w:r>
      <w:r>
        <w:rPr>
          <w:rStyle w:val="18"/>
          <w:rFonts w:hint="eastAsia" w:asciiTheme="minorEastAsia" w:hAnsiTheme="minorEastAsia" w:eastAsiaTheme="minorEastAsia"/>
          <w:b w:val="0"/>
          <w:spacing w:val="-4"/>
          <w:sz w:val="20"/>
          <w:szCs w:val="32"/>
          <w:lang w:val="en-US" w:eastAsia="zh-CN"/>
        </w:rPr>
        <w:t xml:space="preserve">   13899195016</w:t>
      </w:r>
    </w:p>
    <w:p>
      <w:pPr>
        <w:spacing w:line="540" w:lineRule="exact"/>
        <w:rPr>
          <w:rStyle w:val="18"/>
          <w:rFonts w:asciiTheme="minorEastAsia" w:hAnsiTheme="minorEastAsia" w:eastAsiaTheme="minorEastAsia"/>
          <w:b w:val="0"/>
          <w:spacing w:val="-4"/>
          <w:sz w:val="20"/>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Cambria">
    <w:altName w:val="Shruti"/>
    <w:panose1 w:val="02040503050406030204"/>
    <w:charset w:val="00"/>
    <w:family w:val="roman"/>
    <w:pitch w:val="default"/>
    <w:sig w:usb0="00000000" w:usb1="00000000"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
    <w:altName w:val="微软雅黑"/>
    <w:panose1 w:val="02010609060101010101"/>
    <w:charset w:val="86"/>
    <w:family w:val="modern"/>
    <w:pitch w:val="default"/>
    <w:sig w:usb0="00000000" w:usb1="00000000"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1A0F3C52" w:usb2="00000010" w:usb3="00000000" w:csb0="0004001F" w:csb1="00000000"/>
  </w:font>
  <w:font w:name="Shruti">
    <w:panose1 w:val="02000500000000000000"/>
    <w:charset w:val="00"/>
    <w:family w:val="auto"/>
    <w:pitch w:val="default"/>
    <w:sig w:usb0="0004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3"/>
          <w:jc w:val="center"/>
        </w:pPr>
        <w:r>
          <w:fldChar w:fldCharType="begin"/>
        </w:r>
        <w:r>
          <w:instrText xml:space="preserve">PAGE   \* MERGEFORMAT</w:instrText>
        </w:r>
        <w:r>
          <w:fldChar w:fldCharType="separate"/>
        </w:r>
        <w:r>
          <w:rPr>
            <w:lang w:val="zh-CN"/>
          </w:rPr>
          <w:t>5</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FFF3D0"/>
    <w:multiLevelType w:val="singleLevel"/>
    <w:tmpl w:val="F5FFF3D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121AE4"/>
    <w:rsid w:val="00146AAD"/>
    <w:rsid w:val="001B3A40"/>
    <w:rsid w:val="0036514A"/>
    <w:rsid w:val="004366A8"/>
    <w:rsid w:val="00502BA7"/>
    <w:rsid w:val="005162F1"/>
    <w:rsid w:val="00535153"/>
    <w:rsid w:val="00554F82"/>
    <w:rsid w:val="0056390D"/>
    <w:rsid w:val="005719B0"/>
    <w:rsid w:val="005D10D6"/>
    <w:rsid w:val="00607FEF"/>
    <w:rsid w:val="00855E3A"/>
    <w:rsid w:val="00922CB9"/>
    <w:rsid w:val="009E5CD9"/>
    <w:rsid w:val="00A26421"/>
    <w:rsid w:val="00A4293B"/>
    <w:rsid w:val="00A67D50"/>
    <w:rsid w:val="00A8691A"/>
    <w:rsid w:val="00AC1946"/>
    <w:rsid w:val="00B40063"/>
    <w:rsid w:val="00B41F61"/>
    <w:rsid w:val="00BA46E6"/>
    <w:rsid w:val="00C56C72"/>
    <w:rsid w:val="00CA6457"/>
    <w:rsid w:val="00CB2D53"/>
    <w:rsid w:val="00D17F2E"/>
    <w:rsid w:val="00D30354"/>
    <w:rsid w:val="00DF42A0"/>
    <w:rsid w:val="00E769FE"/>
    <w:rsid w:val="00EA2CBE"/>
    <w:rsid w:val="00F32FEE"/>
    <w:rsid w:val="00FB10BB"/>
    <w:rsid w:val="06B35930"/>
    <w:rsid w:val="12795CC6"/>
    <w:rsid w:val="3C357080"/>
    <w:rsid w:val="40994D23"/>
    <w:rsid w:val="486625A2"/>
    <w:rsid w:val="576C3D41"/>
    <w:rsid w:val="631A4CA8"/>
    <w:rsid w:val="63434FC3"/>
    <w:rsid w:val="64C63FB1"/>
    <w:rsid w:val="6EC01DBE"/>
    <w:rsid w:val="7D2223CF"/>
    <w:rsid w:val="7E0B2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12">
    <w:name w:val="Balloon Text"/>
    <w:basedOn w:val="1"/>
    <w:link w:val="46"/>
    <w:semiHidden/>
    <w:unhideWhenUsed/>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3"/>
    <w:uiPriority w:val="9"/>
    <w:rPr>
      <w:rFonts w:asciiTheme="majorHAnsi" w:hAnsiTheme="majorHAnsi" w:eastAsiaTheme="majorEastAsia"/>
      <w:b/>
      <w:bCs/>
      <w:kern w:val="32"/>
      <w:sz w:val="32"/>
      <w:szCs w:val="32"/>
    </w:rPr>
  </w:style>
  <w:style w:type="character" w:customStyle="1" w:styleId="22">
    <w:name w:val="标题 2 Char"/>
    <w:basedOn w:val="17"/>
    <w:link w:val="4"/>
    <w:semiHidden/>
    <w:qFormat/>
    <w:uiPriority w:val="9"/>
    <w:rPr>
      <w:rFonts w:asciiTheme="majorHAnsi" w:hAnsiTheme="majorHAnsi" w:eastAsiaTheme="majorEastAsia"/>
      <w:b/>
      <w:bCs/>
      <w:i/>
      <w:iCs/>
      <w:sz w:val="28"/>
      <w:szCs w:val="28"/>
    </w:rPr>
  </w:style>
  <w:style w:type="character" w:customStyle="1" w:styleId="23">
    <w:name w:val="标题 3 Char"/>
    <w:basedOn w:val="17"/>
    <w:link w:val="5"/>
    <w:semiHidden/>
    <w:qFormat/>
    <w:uiPriority w:val="9"/>
    <w:rPr>
      <w:rFonts w:asciiTheme="majorHAnsi" w:hAnsiTheme="majorHAnsi" w:eastAsiaTheme="majorEastAsia"/>
      <w:b/>
      <w:bCs/>
      <w:sz w:val="26"/>
      <w:szCs w:val="26"/>
    </w:rPr>
  </w:style>
  <w:style w:type="character" w:customStyle="1" w:styleId="24">
    <w:name w:val="标题 4 Char"/>
    <w:basedOn w:val="17"/>
    <w:link w:val="6"/>
    <w:semiHidden/>
    <w:qFormat/>
    <w:uiPriority w:val="9"/>
    <w:rPr>
      <w:b/>
      <w:bCs/>
      <w:sz w:val="28"/>
      <w:szCs w:val="28"/>
    </w:rPr>
  </w:style>
  <w:style w:type="character" w:customStyle="1" w:styleId="25">
    <w:name w:val="标题 5 Char"/>
    <w:basedOn w:val="17"/>
    <w:link w:val="7"/>
    <w:semiHidden/>
    <w:qFormat/>
    <w:uiPriority w:val="9"/>
    <w:rPr>
      <w:b/>
      <w:bCs/>
      <w:i/>
      <w:iCs/>
      <w:sz w:val="26"/>
      <w:szCs w:val="26"/>
    </w:rPr>
  </w:style>
  <w:style w:type="character" w:customStyle="1" w:styleId="26">
    <w:name w:val="标题 6 Char"/>
    <w:basedOn w:val="17"/>
    <w:link w:val="8"/>
    <w:semiHidden/>
    <w:uiPriority w:val="9"/>
    <w:rPr>
      <w:b/>
      <w:bCs/>
    </w:rPr>
  </w:style>
  <w:style w:type="character" w:customStyle="1" w:styleId="27">
    <w:name w:val="标题 7 Char"/>
    <w:basedOn w:val="17"/>
    <w:link w:val="9"/>
    <w:semiHidden/>
    <w:uiPriority w:val="9"/>
    <w:rPr>
      <w:sz w:val="24"/>
      <w:szCs w:val="24"/>
    </w:rPr>
  </w:style>
  <w:style w:type="character" w:customStyle="1" w:styleId="28">
    <w:name w:val="标题 8 Char"/>
    <w:basedOn w:val="17"/>
    <w:link w:val="10"/>
    <w:semiHidden/>
    <w:qFormat/>
    <w:uiPriority w:val="9"/>
    <w:rPr>
      <w:i/>
      <w:iCs/>
      <w:sz w:val="24"/>
      <w:szCs w:val="24"/>
    </w:rPr>
  </w:style>
  <w:style w:type="character" w:customStyle="1" w:styleId="29">
    <w:name w:val="标题 9 Char"/>
    <w:basedOn w:val="17"/>
    <w:link w:val="11"/>
    <w:semiHidden/>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3"/>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批注框文本 Char"/>
    <w:basedOn w:val="17"/>
    <w:link w:val="12"/>
    <w:semiHidden/>
    <w:uiPriority w:val="99"/>
    <w:rPr>
      <w:rFonts w:ascii="Times New Roman" w:hAnsi="Times New Roman" w:eastAsia="宋体"/>
      <w:kern w:val="2"/>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footer1.xml" Type="http://schemas.openxmlformats.org/officeDocument/2006/relationships/footer"/><Relationship Id="rId4" Target="theme/theme1.xml" Type="http://schemas.openxmlformats.org/officeDocument/2006/relationships/theme"/><Relationship Id="rId5" Target="../customXml/item1.xml" Type="http://schemas.openxmlformats.org/officeDocument/2006/relationships/customXml"/><Relationship Id="rId6" Target="numbering.xml" Type="http://schemas.openxmlformats.org/officeDocument/2006/relationships/numbering"/><Relationship Id="rId7"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220</Words>
  <Characters>1259</Characters>
  <Lines>10</Lines>
  <Paragraphs>2</Paragraphs>
  <TotalTime>10</TotalTime>
  <ScaleCrop>false</ScaleCrop>
  <LinksUpToDate>false</LinksUpToDate>
  <CharactersWithSpaces>1477</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2019-01-28T12:11:55Z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