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2018年度新疆喀什地区泽普县农牧机械局部门决算公开说明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hint="eastAsia" w:ascii="黑体" w:hAnsi="黑体" w:eastAsia="仿宋_GB2312" w:cs="宋体"/>
          <w:bCs/>
          <w:kern w:val="0"/>
          <w:sz w:val="32"/>
          <w:szCs w:val="32"/>
          <w:lang w:eastAsia="zh-CN"/>
        </w:rPr>
      </w:pPr>
      <w:r>
        <w:rPr>
          <w:rFonts w:hint="eastAsia" w:ascii="仿宋_GB2312" w:eastAsia="仿宋_GB2312"/>
          <w:sz w:val="32"/>
          <w:szCs w:val="32"/>
        </w:rPr>
        <w:t>加强农业管理，保障农业机械生产者、经营者、使用的合法权益，加快农业现代化步伐，促进农业经济发展，开展农业生产机械化技术服务工作，负责农业机械安全监督管理和农机安全生产工作，农机培训和农机新技术推广，农田作业质量和作业收费的监督管理等。 部门具体职能如下。</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1、贯彻执行国家、自治区和地区有关农业机械化的方针、政策和法律、法规；为地区制定有关农机科技进步发展战略、方针、政策、法规提供参考意见。</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2、坚持为促进农业生产增长、保证农副产品有效供给和农牧民收入稳步增长服务的原则，开展农业现代化发展途径与对策的研究。</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3、农机应用技术的研究和应用，示范推广新机具；组织重大农机化技术推广项目的论证、立项、申报及项目的实施。</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4、指导地、县、乡农机服务体系建设和农机服务组织的服务、生产、经营等社会化服务活动。</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5、负责农机化各项资金和专项资金的使用、监督管理。</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6、对泽普县农业机械的制造、销售和维修网点的监督管理，与相关部门密切配合抓农机产品质量监督管理，组织对地产半机械化农具的试验鉴定。</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7、负责农业机械运用中的安全监督管理工作；对农业机械作业标准、作业质量和作业收费等进行监督检查。</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8、农业机械化技术学校的教育培训工作。</w:t>
      </w:r>
      <w:r>
        <w:rPr>
          <w:rFonts w:hint="eastAsia"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9、承办泽普县及上级业务部门交办的其他事项。</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新疆喀什地区泽普县农牧机械局</w:t>
      </w:r>
      <w:r>
        <w:rPr>
          <w:rFonts w:hint="eastAsia" w:ascii="仿宋_GB2312" w:eastAsia="仿宋_GB2312"/>
          <w:sz w:val="32"/>
          <w:szCs w:val="32"/>
        </w:rPr>
        <w:t>部门决算包括：</w:t>
      </w:r>
      <w:r>
        <w:rPr>
          <w:rFonts w:ascii="仿宋_GB2312" w:eastAsia="仿宋_GB2312"/>
          <w:sz w:val="32"/>
          <w:szCs w:val="32"/>
        </w:rPr>
        <w:t>新疆喀什地区泽普县农牧机械局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新疆喀什地区泽普县农牧机械局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新疆喀什地区泽普县农牧机械局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1,436.5</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，与上年相比，减少296.38万元，下降17.1%，减少的主要原因是：</w:t>
      </w:r>
      <w:r>
        <w:rPr>
          <w:rFonts w:hint="eastAsia" w:ascii="仿宋_GB2312" w:eastAsia="仿宋_GB2312"/>
          <w:color w:val="000000" w:themeColor="text1"/>
          <w:sz w:val="32"/>
          <w:szCs w:val="32"/>
        </w:rPr>
        <w:t>财政安排项目资金减少；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1,861.76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，与上年相比，增加764.78万元，增长69.72%，增加的主要原因是：</w:t>
      </w:r>
      <w:r>
        <w:rPr>
          <w:rFonts w:hint="eastAsia" w:ascii="仿宋_GB2312" w:eastAsia="仿宋_GB2312"/>
          <w:color w:val="000000" w:themeColor="text1"/>
          <w:sz w:val="32"/>
          <w:szCs w:val="32"/>
        </w:rPr>
        <w:t>支出2017年项目结余资金，2018年项目资金支出增加；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210.64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，与上年相比，减少425.26万元，下降66.88%，减少的主要原因是：</w:t>
      </w:r>
      <w:r>
        <w:rPr>
          <w:rFonts w:ascii="仿宋_GB2312" w:eastAsia="仿宋_GB2312"/>
          <w:color w:val="000000" w:themeColor="text1"/>
          <w:sz w:val="32"/>
          <w:szCs w:val="32"/>
        </w:rPr>
        <w:t>支出2017年项目结余资金，2018年项目资金支出增加。</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1,436.5</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1,436.5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况：本年收入年初预算数847.24万元</w:t>
      </w:r>
      <w:r>
        <w:rPr>
          <w:rFonts w:hint="eastAsia" w:ascii="仿宋_GB2312" w:eastAsia="仿宋_GB2312"/>
          <w:sz w:val="32"/>
          <w:szCs w:val="32"/>
        </w:rPr>
        <w:t>，决算数1,436.5万元</w:t>
      </w:r>
      <w:r>
        <w:rPr>
          <w:rFonts w:ascii="仿宋_GB2312" w:eastAsia="仿宋_GB2312"/>
          <w:sz w:val="32"/>
          <w:szCs w:val="32"/>
        </w:rPr>
        <w:t>，预决算差异率69.55%，差异主要原因是</w:t>
      </w:r>
      <w:r>
        <w:rPr>
          <w:rFonts w:hint="eastAsia" w:ascii="仿宋_GB2312" w:eastAsia="仿宋_GB2312"/>
          <w:sz w:val="32"/>
          <w:szCs w:val="32"/>
          <w:lang w:val="en-US" w:eastAsia="zh-CN"/>
        </w:rPr>
        <w:t>:</w:t>
      </w:r>
      <w:r>
        <w:rPr>
          <w:rFonts w:ascii="仿宋_GB2312" w:eastAsia="仿宋_GB2312"/>
          <w:sz w:val="32"/>
          <w:szCs w:val="32"/>
        </w:rPr>
        <w:t>追加项目资金。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hint="eastAsia" w:ascii="仿宋_GB2312" w:eastAsia="仿宋_GB2312"/>
          <w:color w:val="000000" w:themeColor="text1"/>
          <w:spacing w:val="-6"/>
          <w:sz w:val="32"/>
          <w:szCs w:val="32"/>
          <w:lang w:eastAsia="zh-CN"/>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1,861.76</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894.39</w:t>
      </w:r>
      <w:r>
        <w:rPr>
          <w:rFonts w:hint="eastAsia" w:ascii="仿宋_GB2312" w:eastAsia="仿宋_GB2312"/>
          <w:color w:val="000000" w:themeColor="text1"/>
          <w:sz w:val="32"/>
          <w:szCs w:val="32"/>
        </w:rPr>
        <w:t>万元，占</w:t>
      </w:r>
      <w:r>
        <w:rPr>
          <w:rFonts w:hint="eastAsia" w:ascii="仿宋_GB2312" w:eastAsia="仿宋_GB2312"/>
          <w:sz w:val="32"/>
          <w:szCs w:val="32"/>
        </w:rPr>
        <w:t>48.04%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967.37</w:t>
      </w:r>
      <w:r>
        <w:rPr>
          <w:rFonts w:hint="eastAsia" w:ascii="仿宋_GB2312" w:eastAsia="仿宋_GB2312"/>
          <w:color w:val="000000" w:themeColor="text1"/>
          <w:sz w:val="32"/>
          <w:szCs w:val="32"/>
        </w:rPr>
        <w:t>万元，占</w:t>
      </w:r>
      <w:r>
        <w:rPr>
          <w:rFonts w:hint="eastAsia" w:ascii="仿宋_GB2312" w:eastAsia="仿宋_GB2312"/>
          <w:sz w:val="32"/>
          <w:szCs w:val="32"/>
        </w:rPr>
        <w:t>51.96%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与年初预算数相比情况：本年支出年初预算数847.24万元，</w:t>
      </w:r>
      <w:r>
        <w:rPr>
          <w:rFonts w:hint="eastAsia" w:ascii="仿宋_GB2312" w:eastAsia="仿宋_GB2312"/>
          <w:sz w:val="32"/>
          <w:szCs w:val="32"/>
        </w:rPr>
        <w:t>决算数1,861.76万元</w:t>
      </w:r>
      <w:r>
        <w:rPr>
          <w:rFonts w:ascii="仿宋_GB2312" w:eastAsia="仿宋_GB2312"/>
          <w:sz w:val="32"/>
          <w:szCs w:val="32"/>
        </w:rPr>
        <w:t>，预决算差异率119.74%，差异主要原因是</w:t>
      </w:r>
      <w:r>
        <w:rPr>
          <w:rFonts w:hint="eastAsia" w:ascii="仿宋_GB2312" w:eastAsia="仿宋_GB2312"/>
          <w:sz w:val="32"/>
          <w:szCs w:val="32"/>
          <w:lang w:val="en-US" w:eastAsia="zh-CN"/>
        </w:rPr>
        <w:t>:</w:t>
      </w:r>
      <w:r>
        <w:rPr>
          <w:rFonts w:ascii="仿宋_GB2312" w:eastAsia="仿宋_GB2312"/>
          <w:sz w:val="32"/>
          <w:szCs w:val="32"/>
        </w:rPr>
        <w:t>支出2017年项目结余资金，2018年项目资金支出增加。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1,436.5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，与上年相比，减少296.38万元，下降17.1%，减少的主要原因是：财政安排项目资金减少。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1,861.76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，与上年相比，增加764.78万元，增长69.72%，增加的主要原因是：</w:t>
      </w:r>
      <w:r>
        <w:rPr>
          <w:rFonts w:ascii="仿宋_GB2312" w:eastAsia="仿宋_GB2312"/>
          <w:sz w:val="32"/>
          <w:szCs w:val="32"/>
        </w:rPr>
        <w:t>支出2017年项目结余资金，2018年项目资金支出增加。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894.39</w:t>
      </w:r>
      <w:r>
        <w:rPr>
          <w:rFonts w:hint="eastAsia" w:ascii="仿宋_GB2312" w:eastAsia="仿宋_GB2312"/>
          <w:color w:val="000000" w:themeColor="text1"/>
          <w:sz w:val="32"/>
          <w:szCs w:val="32"/>
        </w:rPr>
        <w:t>万元，项目支出</w:t>
      </w:r>
      <w:r>
        <w:rPr>
          <w:rFonts w:hint="eastAsia" w:ascii="仿宋_GB2312" w:eastAsia="仿宋_GB2312"/>
          <w:sz w:val="32"/>
          <w:szCs w:val="32"/>
        </w:rPr>
        <w:t>967.37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210.64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，与上年相比，减少425.26万元，下降66.88%，减少的主要原因是：支出2017年项目结余资金，2018年项目资金支出增加。</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847.24</w:t>
      </w:r>
      <w:r>
        <w:rPr>
          <w:rFonts w:hint="eastAsia" w:ascii="仿宋_GB2312" w:eastAsia="仿宋_GB2312"/>
          <w:color w:val="000000" w:themeColor="text1"/>
          <w:sz w:val="32"/>
          <w:szCs w:val="32"/>
        </w:rPr>
        <w:t>万元，决算数</w:t>
      </w:r>
      <w:r>
        <w:rPr>
          <w:rFonts w:hint="eastAsia" w:ascii="仿宋_GB2312" w:eastAsia="仿宋_GB2312"/>
          <w:sz w:val="32"/>
          <w:szCs w:val="32"/>
        </w:rPr>
        <w:t>1,436.5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，预决算差异率69.55%，差异主要原因是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上级财政专项拨款项目增加，支出也一并增加。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847.24</w:t>
      </w:r>
      <w:r>
        <w:rPr>
          <w:rFonts w:hint="eastAsia" w:ascii="仿宋_GB2312" w:eastAsia="仿宋_GB2312"/>
          <w:color w:val="000000" w:themeColor="text1"/>
          <w:sz w:val="32"/>
          <w:szCs w:val="32"/>
        </w:rPr>
        <w:t>万元，决算数</w:t>
      </w:r>
      <w:r>
        <w:rPr>
          <w:rFonts w:hint="eastAsia" w:ascii="仿宋_GB2312" w:eastAsia="仿宋_GB2312"/>
          <w:sz w:val="32"/>
          <w:szCs w:val="32"/>
        </w:rPr>
        <w:t>1,861.76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，预决算差异率119.74%，差异主要原因是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支出2017年项目结余资金，2018年项目资金支出增加。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1,436.5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，与上年相比，减少296.38万元，下降17.1%，减少的主要原因是：追加项目资金减少。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1,861.76</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，与上年相比，增加764.78万元，增长69.72%，增加的主要原因是：追加项目资金，支出2017年结余资金。</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住房保障支出60.46万元,农林水支出1,707.53万元,社会保障和就业支出93.77万元。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工资福利支出823.19万元,商品和服务支出13.4万元,对个人和家庭的补助1,025.17万元。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847.24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1,436.5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，预决算差异率69.55%，差异主要原因是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追加项目资金。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847.24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1,861.76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，预决算差异率119.74%，差异主要原因是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追加项目资金，支出2017年结余资金。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，与上年相比无变化，主要原因是：无变动。</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，与上年相比无变化，主要原因是：无变动。</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210.64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。与上年相比，减少425.26万元，下降66.88%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210.64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。与上年相比，减少425.26万元，下降66.88%。</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4.43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，与上年相比，增加2.91万元，增长191.45%，增加的主要原因是：包含2017年下半年汽车修理费以及18年车辆维修费。</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0%，与上年相比无变化，主要原因是：无变动；</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4.43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100%，与上年相比，增加2.91万元，增长191.45%，增加的主要原因是：包含2017年下半年汽车修理费以及18年车辆维修费；</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0%，与上年相比无变化，主要原因是：无变动。</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新疆喀什地区泽普县农牧机械局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我单位无因公出国情况。</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4.43</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4.43</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主要用于燃油费、车辆维修、保养</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5</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无国内公务接待费支出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新疆喀什地区泽普县农牧机械局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4.43</w:t>
      </w:r>
      <w:r>
        <w:rPr>
          <w:rFonts w:hint="eastAsia" w:ascii="仿宋_GB2312" w:eastAsia="仿宋_GB2312"/>
          <w:color w:val="000000" w:themeColor="text1"/>
          <w:sz w:val="32"/>
          <w:szCs w:val="32"/>
        </w:rPr>
        <w:t>万元，决算数4.43万元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4.43</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4.43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无变动；</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bookmarkStart w:id="92" w:name="_GoBack"/>
      <w:bookmarkEnd w:id="92"/>
      <w:r>
        <w:rPr>
          <w:rFonts w:ascii="仿宋_GB2312" w:eastAsia="仿宋_GB2312"/>
          <w:color w:val="000000" w:themeColor="text1"/>
          <w:sz w:val="32"/>
          <w:szCs w:val="32"/>
        </w:rPr>
        <w:t>无变动。</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新疆喀什地区泽普县农牧机械局日常公用经费13.4万元，与上年相比，减少11.42万元，下降46.01%，减少的主要原因是：厉行八项规定，压缩经费。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526.54</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525.38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1.16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5</w:t>
      </w:r>
      <w:r>
        <w:rPr>
          <w:rFonts w:hint="eastAsia" w:ascii="仿宋_GB2312" w:eastAsia="仿宋_GB2312"/>
          <w:color w:val="000000" w:themeColor="text1"/>
          <w:sz w:val="32"/>
          <w:szCs w:val="32"/>
        </w:rPr>
        <w:t>辆，价值</w:t>
      </w:r>
      <w:r>
        <w:rPr>
          <w:rFonts w:hint="eastAsia" w:ascii="仿宋_GB2312" w:eastAsia="仿宋_GB2312"/>
          <w:sz w:val="32"/>
          <w:szCs w:val="32"/>
        </w:rPr>
        <w:t>48.64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5</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无其他车辆；</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根据相关要求，我单位对当年所有项目资金支出做预算绩效自评工作，经主要领导亲自部署安排，由财务人员核对决算收支数据，项目办根据项目具体实施方案，综合考评，针对每个项目做出详细绩效自评，更好的发挥经济效益及社会效益。</w:t>
      </w:r>
    </w:p>
    <w:p>
      <w:pPr>
        <w:spacing w:line="540" w:lineRule="exact"/>
        <w:ind w:left="-1" w:right="-1" w:firstLine="646"/>
        <w:jc w:val="left"/>
      </w:pPr>
      <w:r>
        <w:rPr>
          <w:rFonts w:ascii="仿宋_GB2312" w:hAnsi="仿宋_GB2312" w:eastAsia="仿宋_GB2312" w:cs="仿宋_GB2312"/>
          <w:b w:val="0"/>
          <w:color w:val="auto"/>
          <w:sz w:val="32"/>
          <w:u w:val="none"/>
        </w:rPr>
        <w:t>1、泽普县农牧机械局2018年深松作业项目绩效自评综述：根据年初设定的绩效目标，该项目绩效自评得分为90分。项目全年预算数为12.9万元，执行数为12.9万元，完成预算的100%。主要产出和效果：全年完成深松作业4300亩，有效的促进补贴与耕地地力保护挂钩，提高耕地地力水平；实施耕地质量保护与提升行动，推进土地整治，增加深松土地，保障粮食安全和主要农产品供给；加快深松作业技术和机具的推广应用，为农业增效、农民增收打牢基础，为农业可持续发展创造有利条件。发现的问题及原因：1、深松作业期间存在不合格情况，主要原因农机手经验不足，下一步改进措施：增加培训，加强监督。</w:t>
      </w:r>
    </w:p>
    <w:p>
      <w:pPr>
        <w:spacing w:line="540" w:lineRule="exact"/>
        <w:ind w:left="-1" w:right="-1" w:firstLine="646"/>
        <w:jc w:val="left"/>
      </w:pPr>
      <w:r>
        <w:rPr>
          <w:rFonts w:ascii="仿宋_GB2312" w:hAnsi="仿宋_GB2312" w:eastAsia="仿宋_GB2312" w:cs="仿宋_GB2312"/>
          <w:b w:val="0"/>
          <w:color w:val="auto"/>
          <w:sz w:val="32"/>
          <w:u w:val="none"/>
        </w:rPr>
        <w:t>2、泽普县农牧机械局2018年中央农机购机补贴项目绩效自评综述：根据年初设定的绩效目标，该项目绩效自评得分为85分。项目全年预算数为618万元，执行数为455.36万元，完成预算的73.68%。主要产出和效果：享受补贴农户337户,补贴机具398台。有效提高农机化作业水平，增强农业综合生产能力为主要任务，大力发展林果业、畜牧养殖、特色作物机械，积极发展设施农业及节水农业；突出先进适用、安全可靠、节能环保机具的推广应用发现的问题及原因：办理期间因供货企业不能第一时间及时上传机具的信息，影响农民补贴资金信息的录入进度，农民申请农机购置补贴时村委会和乡政府对申请补贴的农户识别不够精准，造成审批出现套取补贴的隐患。下一步改进措施：督促供货企业及时上传信息，大力宣传农机购置补贴政策。</w:t>
      </w:r>
    </w:p>
    <w:p>
      <w:pPr>
        <w:spacing w:line="540" w:lineRule="exact"/>
        <w:ind w:left="-1" w:right="-1" w:firstLine="646"/>
        <w:jc w:val="left"/>
      </w:pPr>
      <w:r>
        <w:rPr>
          <w:rFonts w:ascii="仿宋_GB2312" w:hAnsi="仿宋_GB2312" w:eastAsia="仿宋_GB2312" w:cs="仿宋_GB2312"/>
          <w:b w:val="0"/>
          <w:color w:val="auto"/>
          <w:sz w:val="32"/>
          <w:u w:val="none"/>
        </w:rPr>
        <w:t>3、泽普县农机局农民农机专业合作社设备配套项目绩效自评综述：根据年初设定的绩效目标，该项目绩效自评得分为88分。项目全年预算数为525.38万元，执行数为499.11万元，完成预算的95%。主要产出和效果：已初步完成3个农机合作社机具配套工作，包括联合收割机、圆盘果树修剪机等23种，已累计供货91台；带动就业人数87人，贫困户18人，年累计收入67.85万元，纯收入27.14万元；初步实现新技术的引进和推广工作。发现的问题及原因：管理不够规范，农机手自身素质不高，操作水平有限，缺乏培训。下一步改进措施：组织部门培训，提高农机手业务水平。</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04（项）指：事业运行。213（类）05（款）05（项）指：生产发展。221（类）02（款）01（项）指：住房公积金。213（类）01（款）42（项）指：农村道路建设。213（类）01（款）01（项）指：行政运行。208（类）05（款）05（项）指：机关事业单位基本养老保险缴费支出。213（类）01（款）22（项）指：农业生产支持补贴。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ECD2290"/>
    <w:rsid w:val="0F4C7B96"/>
    <w:rsid w:val="0FFB575E"/>
    <w:rsid w:val="10845F1B"/>
    <w:rsid w:val="11463A00"/>
    <w:rsid w:val="11600918"/>
    <w:rsid w:val="11B0398F"/>
    <w:rsid w:val="13B960C5"/>
    <w:rsid w:val="152777F4"/>
    <w:rsid w:val="15C674B6"/>
    <w:rsid w:val="18D54A0D"/>
    <w:rsid w:val="19817005"/>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FF2E57"/>
    <w:rsid w:val="2B007AEE"/>
    <w:rsid w:val="2BC14C56"/>
    <w:rsid w:val="2C1B026F"/>
    <w:rsid w:val="2CC61F55"/>
    <w:rsid w:val="2EF7452F"/>
    <w:rsid w:val="2F1D13B4"/>
    <w:rsid w:val="2FAA3DA6"/>
    <w:rsid w:val="30682E1F"/>
    <w:rsid w:val="30E210D2"/>
    <w:rsid w:val="311371D6"/>
    <w:rsid w:val="31EB64C9"/>
    <w:rsid w:val="330570FC"/>
    <w:rsid w:val="336D0D6F"/>
    <w:rsid w:val="34682385"/>
    <w:rsid w:val="352E4BEC"/>
    <w:rsid w:val="35764634"/>
    <w:rsid w:val="37DD5594"/>
    <w:rsid w:val="38F24FA8"/>
    <w:rsid w:val="3A98342A"/>
    <w:rsid w:val="3AB6780E"/>
    <w:rsid w:val="3AD56D70"/>
    <w:rsid w:val="3B2920C2"/>
    <w:rsid w:val="3B405BDD"/>
    <w:rsid w:val="3BE41ABD"/>
    <w:rsid w:val="3C5421A9"/>
    <w:rsid w:val="3D903B21"/>
    <w:rsid w:val="3F440741"/>
    <w:rsid w:val="41FC306C"/>
    <w:rsid w:val="44030307"/>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B2673C"/>
    <w:rsid w:val="51EC1DA8"/>
    <w:rsid w:val="52FC5524"/>
    <w:rsid w:val="532D7A17"/>
    <w:rsid w:val="5341782E"/>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8B4658"/>
    <w:rsid w:val="5ECB44B4"/>
    <w:rsid w:val="5EE2043C"/>
    <w:rsid w:val="60124B20"/>
    <w:rsid w:val="602D2E37"/>
    <w:rsid w:val="61460FBE"/>
    <w:rsid w:val="62775810"/>
    <w:rsid w:val="62D83744"/>
    <w:rsid w:val="630F4048"/>
    <w:rsid w:val="63AA02E5"/>
    <w:rsid w:val="64700DE9"/>
    <w:rsid w:val="65C613BD"/>
    <w:rsid w:val="65FD118C"/>
    <w:rsid w:val="663639EB"/>
    <w:rsid w:val="67C6054D"/>
    <w:rsid w:val="682C3D89"/>
    <w:rsid w:val="68611305"/>
    <w:rsid w:val="6A162DE0"/>
    <w:rsid w:val="6A331428"/>
    <w:rsid w:val="6B014F31"/>
    <w:rsid w:val="6B2E5CB6"/>
    <w:rsid w:val="6B3D4886"/>
    <w:rsid w:val="6DF8675E"/>
    <w:rsid w:val="6EA80098"/>
    <w:rsid w:val="6F8D70FF"/>
    <w:rsid w:val="6FFE5011"/>
    <w:rsid w:val="7178734D"/>
    <w:rsid w:val="71791096"/>
    <w:rsid w:val="717B0C34"/>
    <w:rsid w:val="71FB78FD"/>
    <w:rsid w:val="7275064A"/>
    <w:rsid w:val="733F750B"/>
    <w:rsid w:val="735702E2"/>
    <w:rsid w:val="765B3BDE"/>
    <w:rsid w:val="765F635A"/>
    <w:rsid w:val="76B73454"/>
    <w:rsid w:val="76D254BD"/>
    <w:rsid w:val="77727ACD"/>
    <w:rsid w:val="78071142"/>
    <w:rsid w:val="79296B37"/>
    <w:rsid w:val="7A4C4C40"/>
    <w:rsid w:val="7AA0518E"/>
    <w:rsid w:val="7B041636"/>
    <w:rsid w:val="7CA86749"/>
    <w:rsid w:val="7EC92370"/>
    <w:rsid w:val="7ECB76C2"/>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292</TotalTime>
  <ScaleCrop>false</ScaleCrop>
  <LinksUpToDate>false</LinksUpToDate>
  <CharactersWithSpaces>7696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2020-04-03T14:28:30Z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