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2018年度新疆喀什地区泽普县人工影响天气工作领导小组办公室部门决算公开说明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人工影响天气办公室是气象局领导下，承担人工影响天气工作的地方气象事业机构。1.拟定本县人工影响天气的发展规划、计划和有关法规、制度的实施细则、补充规定及作业技术规范，并组织实施。2.负责审批本县区域内人工影响天气作业组织资格；审定全省高炮（火箭）人工增雨、防雹作业计划；综合协调全省人工增雨防雹作业及空域申报工作。3.负责人工影响天气业务管理、技术指导、技术培训和炮箭手持证上岗培训、颁证工作。4.管理人工增雨、调拨和年检工作，并实行统筹、统购、统管；归口管理人工影响天气作业指导的X波段数字化雷达。5.制定范围内的飞机人工影响天气作业计划、并组织协调实施。6.负责人工影响天气作业情况的统计、效益评估等工作；定期、不定期编发工作简报和统计报表。7.负责组织实施并指导人工影响天气业务的现代化建设工作。8.承担人工影响天气业务的科学研究及新技术、新项目的开发工作。9.配合有关部门组织实施重大森林火灾灭火、消除公共污染等目的的人工增雨（雪）工作。10.负责本单位人事、经费、装备物资、精神文明建设工作。11.承办上级交办的其他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新疆喀什地区泽普县人工影响天气工作领导小组办公室</w:t>
      </w:r>
      <w:r>
        <w:rPr>
          <w:rFonts w:hint="eastAsia" w:ascii="仿宋_GB2312" w:eastAsia="仿宋_GB2312"/>
          <w:sz w:val="32"/>
          <w:szCs w:val="32"/>
        </w:rPr>
        <w:t>部门决算包括：</w:t>
      </w:r>
      <w:r>
        <w:rPr>
          <w:rFonts w:ascii="仿宋_GB2312" w:eastAsia="仿宋_GB2312"/>
          <w:sz w:val="32"/>
          <w:szCs w:val="32"/>
        </w:rPr>
        <w:t>新疆喀什地区泽普县人工影响天气工作领导小组办公室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新疆喀什地区泽普县人工影响天气工作领导小组办公室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新疆喀什地区泽普县人工影响天气工作领导小组办公室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21.45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，与上年相比，增加2.58万元，增长13.67%，增加的主要原因是：</w:t>
      </w:r>
      <w:r>
        <w:rPr>
          <w:rFonts w:hint="eastAsia" w:ascii="仿宋_GB2312" w:eastAsia="仿宋_GB2312"/>
          <w:color w:val="000000" w:themeColor="text1"/>
          <w:sz w:val="32"/>
          <w:szCs w:val="32"/>
        </w:rPr>
        <w:t>调资和社会保障支出有所增加；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21.45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，与上年相比，增加2.58万元，增长13.67%，增加的主要原因是：</w:t>
      </w:r>
      <w:r>
        <w:rPr>
          <w:rFonts w:hint="eastAsia" w:ascii="仿宋_GB2312" w:eastAsia="仿宋_GB2312"/>
          <w:color w:val="000000" w:themeColor="text1"/>
          <w:sz w:val="32"/>
          <w:szCs w:val="32"/>
        </w:rPr>
        <w:t>调资和社会保障支出有所增加；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hint="eastAsia" w:ascii="仿宋_GB2312" w:eastAsia="仿宋_GB2312"/>
          <w:color w:val="000000" w:themeColor="text1"/>
          <w:sz w:val="32"/>
          <w:szCs w:val="32"/>
          <w:lang w:val="en-US" w:eastAsia="zh-CN"/>
        </w:rPr>
        <w:t>无</w:t>
      </w:r>
      <w:r>
        <w:rPr>
          <w:rFonts w:ascii="仿宋_GB2312" w:eastAsia="仿宋_GB2312"/>
          <w:color w:val="000000" w:themeColor="text1"/>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21.45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21.45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况：本年收入年初预算数20.25万元</w:t>
      </w:r>
      <w:r>
        <w:rPr>
          <w:rFonts w:hint="eastAsia" w:ascii="仿宋_GB2312" w:eastAsia="仿宋_GB2312"/>
          <w:sz w:val="32"/>
          <w:szCs w:val="32"/>
        </w:rPr>
        <w:t>，决算数21.45万元</w:t>
      </w:r>
      <w:r>
        <w:rPr>
          <w:rFonts w:ascii="仿宋_GB2312" w:eastAsia="仿宋_GB2312"/>
          <w:sz w:val="32"/>
          <w:szCs w:val="32"/>
        </w:rPr>
        <w:t>，预决算差异率5.93%，差异主要原因是未预算调资和社会保障支出的增加项。</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21.45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21.45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与年初预算数相比情况：本年支出年初预算数20.25万元，</w:t>
      </w:r>
      <w:r>
        <w:rPr>
          <w:rFonts w:hint="eastAsia" w:ascii="仿宋_GB2312" w:eastAsia="仿宋_GB2312"/>
          <w:sz w:val="32"/>
          <w:szCs w:val="32"/>
        </w:rPr>
        <w:t>决算数21.45万元</w:t>
      </w:r>
      <w:r>
        <w:rPr>
          <w:rFonts w:ascii="仿宋_GB2312" w:eastAsia="仿宋_GB2312"/>
          <w:sz w:val="32"/>
          <w:szCs w:val="32"/>
        </w:rPr>
        <w:t>，预决算差异率5.93%，差异主要原因是未预算调资和社会保障支出的增加项。</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21.45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，与上年相比，增加2.58万元，增长13.67%，增加的主要原因是：调资和社会保障支出有所增加。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21.45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，与上年相比，增加2.58万元，增长13.67%，增加的主要原因是：</w:t>
      </w:r>
      <w:r>
        <w:rPr>
          <w:rFonts w:ascii="仿宋_GB2312" w:eastAsia="仿宋_GB2312"/>
          <w:sz w:val="32"/>
          <w:szCs w:val="32"/>
        </w:rPr>
        <w:t>调资和社会保障支出有所增加。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21.45</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hint="eastAsia" w:ascii="仿宋_GB2312" w:eastAsia="仿宋_GB2312"/>
          <w:sz w:val="32"/>
          <w:szCs w:val="32"/>
          <w:lang w:eastAsia="zh-CN"/>
        </w:rPr>
        <w:t>无</w:t>
      </w:r>
      <w:r>
        <w:rPr>
          <w:rFonts w:hint="eastAsia" w:ascii="仿宋_GB2312" w:eastAsia="仿宋_GB2312"/>
          <w:sz w:val="32"/>
          <w:szCs w:val="32"/>
        </w:rPr>
        <w:t>。</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20.25</w:t>
      </w:r>
      <w:r>
        <w:rPr>
          <w:rFonts w:hint="eastAsia" w:ascii="仿宋_GB2312" w:eastAsia="仿宋_GB2312"/>
          <w:color w:val="000000" w:themeColor="text1"/>
          <w:sz w:val="32"/>
          <w:szCs w:val="32"/>
        </w:rPr>
        <w:t>万元，决算数</w:t>
      </w:r>
      <w:r>
        <w:rPr>
          <w:rFonts w:hint="eastAsia" w:ascii="仿宋_GB2312" w:eastAsia="仿宋_GB2312"/>
          <w:sz w:val="32"/>
          <w:szCs w:val="32"/>
        </w:rPr>
        <w:t>21.45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，预决算差异率5.93%，差异主要原因是未预算调资和社会保障支出的增加项。</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20.25</w:t>
      </w:r>
      <w:r>
        <w:rPr>
          <w:rFonts w:hint="eastAsia" w:ascii="仿宋_GB2312" w:eastAsia="仿宋_GB2312"/>
          <w:color w:val="000000" w:themeColor="text1"/>
          <w:sz w:val="32"/>
          <w:szCs w:val="32"/>
        </w:rPr>
        <w:t>万元，决算数</w:t>
      </w:r>
      <w:r>
        <w:rPr>
          <w:rFonts w:hint="eastAsia" w:ascii="仿宋_GB2312" w:eastAsia="仿宋_GB2312"/>
          <w:sz w:val="32"/>
          <w:szCs w:val="32"/>
        </w:rPr>
        <w:t>21.45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，预决算差异率5.93%，差异主要原因是未预算调资和社会保障支出的增加项。</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21.45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，与上年相比，增加2.58万元，增长13.67%，增加的主要原因是：调资和社会保障支出有所增加。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21.45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，与上年相比，增加2.58万元，增长13.67%，增加的主要原因是：工资变动和社会保障支出增加。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国土海洋气象等支出17.42万元,住房保障支出1.6</w:t>
      </w:r>
      <w:r>
        <w:rPr>
          <w:rFonts w:hint="eastAsia" w:ascii="仿宋_GB2312" w:eastAsia="仿宋_GB2312"/>
          <w:sz w:val="32"/>
          <w:szCs w:val="32"/>
          <w:lang w:val="en-US" w:eastAsia="zh-CN"/>
        </w:rPr>
        <w:t>0</w:t>
      </w:r>
      <w:r>
        <w:rPr>
          <w:rFonts w:hint="eastAsia" w:ascii="仿宋_GB2312" w:eastAsia="仿宋_GB2312"/>
          <w:sz w:val="32"/>
          <w:szCs w:val="32"/>
        </w:rPr>
        <w:t>万元,社会保障和就业支出2.44万元。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工资福利支出21.45万元。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20.25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，预决算差异率5.93%，差异主要原因是调资和社会保障支出有所增加。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20.25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21.45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，预决算差异率5.93%，差异主要原因是调资和社会保障支出有所增加。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新疆喀什地区泽普县人工影响天气工作领导小组办公室</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bookmarkEnd w:id="73"/>
      <w:bookmarkStart w:id="77" w:name="OLE_LINK82"/>
      <w:r>
        <w:rPr>
          <w:rFonts w:hint="eastAsia" w:ascii="仿宋_GB2312" w:eastAsia="仿宋_GB2312"/>
          <w:sz w:val="32"/>
          <w:szCs w:val="32"/>
          <w:lang w:eastAsia="zh-CN"/>
        </w:rPr>
        <w:t>无</w:t>
      </w:r>
      <w:r>
        <w:rPr>
          <w:rFonts w:hint="eastAsia" w:ascii="仿宋_GB2312" w:eastAsia="仿宋_GB2312"/>
          <w:color w:val="000000" w:themeColor="text1"/>
          <w:sz w:val="32"/>
          <w:szCs w:val="32"/>
        </w:rPr>
        <w:t>公务用车购置及运行维护费</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lang w:eastAsia="zh-CN"/>
        </w:rPr>
        <w:t>无公务接待费</w:t>
      </w:r>
      <w:r>
        <w:rPr>
          <w:rFonts w:hint="eastAsia" w:ascii="仿宋_GB2312" w:eastAsia="仿宋_GB2312"/>
          <w:color w:val="000000" w:themeColor="text1"/>
          <w:sz w:val="32"/>
          <w:szCs w:val="32"/>
        </w:rPr>
        <w:t>。</w:t>
      </w:r>
      <w:bookmarkEnd w:id="78"/>
      <w:bookmarkStart w:id="79" w:name="OLE_LINK84"/>
      <w:r>
        <w:rPr>
          <w:rFonts w:hint="eastAsia" w:ascii="仿宋_GB2312" w:eastAsia="仿宋_GB2312"/>
          <w:sz w:val="32"/>
          <w:szCs w:val="32"/>
        </w:rPr>
        <w:t>新疆喀什地区泽普县人工影响天气工作领导小组办公室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新疆喀什地区泽普县人工影响天气工作领导小组办公室日常公用经费0万元，与上年相比，减少0.19万元，下降100%，减少的主要原因是：日常公用经费减少。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无</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2018年度，本部门单位预算绩效自评情况：</w:t>
      </w:r>
      <w:r>
        <w:rPr>
          <w:rFonts w:hint="eastAsia" w:ascii="仿宋_GB2312" w:eastAsia="仿宋_GB2312"/>
          <w:sz w:val="32"/>
          <w:szCs w:val="32"/>
          <w:lang w:eastAsia="zh-CN"/>
        </w:rPr>
        <w:t>本单位</w:t>
      </w:r>
      <w:r>
        <w:rPr>
          <w:rFonts w:hint="eastAsia" w:ascii="仿宋_GB2312" w:eastAsia="仿宋_GB2312"/>
          <w:sz w:val="32"/>
          <w:szCs w:val="32"/>
          <w:lang w:val="en-US" w:eastAsia="zh-CN"/>
        </w:rPr>
        <w:t>2018年无项目，我项目绩效。</w:t>
      </w:r>
    </w:p>
    <w:p>
      <w:pPr>
        <w:spacing w:line="540" w:lineRule="exact"/>
        <w:jc w:val="center"/>
        <w:rPr>
          <w:rFonts w:ascii="黑体" w:hAnsi="黑体" w:eastAsia="黑体"/>
          <w:sz w:val="32"/>
          <w:szCs w:val="32"/>
        </w:rPr>
      </w:pPr>
      <w:bookmarkStart w:id="92" w:name="_GoBack"/>
      <w:bookmarkEnd w:id="92"/>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221（类）02（款）01（项）指：住房公积金。220（类）05（款）04（项）指：气象事业机构。208（类）05（款）05（项）指：机关事业单位基本养老保险缴费支出。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8760FA"/>
    <w:rsid w:val="23995975"/>
    <w:rsid w:val="2432220E"/>
    <w:rsid w:val="248303BA"/>
    <w:rsid w:val="24837E47"/>
    <w:rsid w:val="252E01AA"/>
    <w:rsid w:val="2680023E"/>
    <w:rsid w:val="26933C5D"/>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5301242"/>
    <w:rsid w:val="37DD5594"/>
    <w:rsid w:val="38F24FA8"/>
    <w:rsid w:val="3A98342A"/>
    <w:rsid w:val="3AB6780E"/>
    <w:rsid w:val="3AD56D70"/>
    <w:rsid w:val="3B2920C2"/>
    <w:rsid w:val="3B9C79E7"/>
    <w:rsid w:val="3BE41ABD"/>
    <w:rsid w:val="3C5421A9"/>
    <w:rsid w:val="3D903B21"/>
    <w:rsid w:val="3F21358B"/>
    <w:rsid w:val="3F440741"/>
    <w:rsid w:val="41FC306C"/>
    <w:rsid w:val="44BE5554"/>
    <w:rsid w:val="451E0908"/>
    <w:rsid w:val="452C2D31"/>
    <w:rsid w:val="45D26E14"/>
    <w:rsid w:val="46A541B1"/>
    <w:rsid w:val="47716019"/>
    <w:rsid w:val="48C57772"/>
    <w:rsid w:val="49782886"/>
    <w:rsid w:val="4A6F0D28"/>
    <w:rsid w:val="4AAF085C"/>
    <w:rsid w:val="4AEB7E60"/>
    <w:rsid w:val="4B4B135B"/>
    <w:rsid w:val="4BC7055F"/>
    <w:rsid w:val="4CFC7DB2"/>
    <w:rsid w:val="4E7C187D"/>
    <w:rsid w:val="508941AD"/>
    <w:rsid w:val="50E65530"/>
    <w:rsid w:val="510C3124"/>
    <w:rsid w:val="51457139"/>
    <w:rsid w:val="51574DBD"/>
    <w:rsid w:val="51EC1DA8"/>
    <w:rsid w:val="52FC5524"/>
    <w:rsid w:val="532D7A17"/>
    <w:rsid w:val="53E600E2"/>
    <w:rsid w:val="54AF4562"/>
    <w:rsid w:val="54C9674B"/>
    <w:rsid w:val="556318EA"/>
    <w:rsid w:val="55A60AA1"/>
    <w:rsid w:val="56451615"/>
    <w:rsid w:val="569E79D8"/>
    <w:rsid w:val="574D0C4E"/>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67103BA"/>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154000"/>
    <w:rsid w:val="7EC92370"/>
    <w:rsid w:val="7EF67318"/>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2020-04-05T12:46:05Z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