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2018年度新疆喀什地区泽普县农业局部门决算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泽普县农业局紧紧围绕泽普县经济社会发展总体思路，加强对农业生产各项工作的指导，切实推进农业现代化建设。种植业紧紧围绕现代农业发展规划，不断调整优化农业产业结构，提高粮食综合生产能力。按照“循环经济、特色农业、绿色产品、富裕农民”的工作目标，做大基地、做优产品、做强龙头、做响品牌，实现农业农村经济持续健康发展。</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新疆喀什地区泽普县农业局</w:t>
      </w:r>
      <w:r>
        <w:rPr>
          <w:rFonts w:hint="eastAsia" w:ascii="仿宋_GB2312" w:eastAsia="仿宋_GB2312"/>
          <w:sz w:val="32"/>
          <w:szCs w:val="32"/>
        </w:rPr>
        <w:t>部门决算包括：</w:t>
      </w:r>
      <w:r>
        <w:rPr>
          <w:rFonts w:ascii="仿宋_GB2312" w:eastAsia="仿宋_GB2312"/>
          <w:sz w:val="32"/>
          <w:szCs w:val="32"/>
        </w:rPr>
        <w:t>新疆喀什地区泽普县农业局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新疆喀什地区泽普县农业局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新疆喀什地区泽普县农业局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5,551.13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，与上年相比，增加910.22万元，增长19.61%，增加的主要原因是：</w:t>
      </w:r>
      <w:r>
        <w:rPr>
          <w:rFonts w:hint="eastAsia" w:ascii="仿宋_GB2312" w:eastAsia="仿宋_GB2312"/>
          <w:color w:val="000000" w:themeColor="text1"/>
          <w:sz w:val="32"/>
          <w:szCs w:val="32"/>
        </w:rPr>
        <w:t>2018年扶贫项目资金增多，故收入增加；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5,402.59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，与上年相比，增加1,417.66万元，增长35.58%，增加的主要原因是：</w:t>
      </w:r>
      <w:r>
        <w:rPr>
          <w:rFonts w:hint="eastAsia" w:ascii="仿宋_GB2312" w:eastAsia="仿宋_GB2312"/>
          <w:color w:val="000000" w:themeColor="text1"/>
          <w:sz w:val="32"/>
          <w:szCs w:val="32"/>
        </w:rPr>
        <w:t>加大项目实施进度，项目资金支付力度增强,尤其是各扶贫项目资金支付力度很大，确保贫困户及早收益；</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1,749.7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，与上年相比，增加148.55万元，增长9.28%，增加的主要原因是：</w:t>
      </w:r>
      <w:r>
        <w:rPr>
          <w:rFonts w:ascii="仿宋_GB2312" w:eastAsia="仿宋_GB2312"/>
          <w:color w:val="000000" w:themeColor="text1"/>
          <w:sz w:val="32"/>
          <w:szCs w:val="32"/>
        </w:rPr>
        <w:t>扶贫项目资金无结余，2018年耕地地力保护补贴资金有结余；上年专项结余资金有支付。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5,551.13</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2,174.38</w:t>
      </w:r>
      <w:r>
        <w:rPr>
          <w:rFonts w:hint="eastAsia" w:ascii="仿宋_GB2312" w:eastAsia="仿宋_GB2312"/>
          <w:color w:val="000000" w:themeColor="text1"/>
          <w:sz w:val="32"/>
          <w:szCs w:val="32"/>
        </w:rPr>
        <w:t>万元，占</w:t>
      </w:r>
      <w:r>
        <w:rPr>
          <w:rFonts w:hint="eastAsia" w:ascii="仿宋_GB2312" w:eastAsia="仿宋_GB2312"/>
          <w:sz w:val="32"/>
          <w:szCs w:val="32"/>
        </w:rPr>
        <w:t>39.17%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3,376.75</w:t>
      </w:r>
      <w:r>
        <w:rPr>
          <w:rFonts w:hint="eastAsia" w:ascii="仿宋_GB2312" w:eastAsia="仿宋_GB2312"/>
          <w:color w:val="000000" w:themeColor="text1"/>
          <w:sz w:val="32"/>
          <w:szCs w:val="32"/>
        </w:rPr>
        <w:t>万元，占</w:t>
      </w:r>
      <w:r>
        <w:rPr>
          <w:rFonts w:hint="eastAsia" w:ascii="仿宋_GB2312" w:eastAsia="仿宋_GB2312"/>
          <w:sz w:val="32"/>
          <w:szCs w:val="32"/>
        </w:rPr>
        <w:t>60.83%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况：本年收入年初预算数2,784.9万元</w:t>
      </w:r>
      <w:r>
        <w:rPr>
          <w:rFonts w:hint="eastAsia" w:ascii="仿宋_GB2312" w:eastAsia="仿宋_GB2312"/>
          <w:sz w:val="32"/>
          <w:szCs w:val="32"/>
        </w:rPr>
        <w:t>，决算数5,551.13万元</w:t>
      </w:r>
      <w:r>
        <w:rPr>
          <w:rFonts w:ascii="仿宋_GB2312" w:eastAsia="仿宋_GB2312"/>
          <w:sz w:val="32"/>
          <w:szCs w:val="32"/>
        </w:rPr>
        <w:t>，预决算差异率99.33%，差异主要原因是</w:t>
      </w:r>
      <w:r>
        <w:rPr>
          <w:rFonts w:hint="eastAsia" w:ascii="仿宋_GB2312" w:eastAsia="仿宋_GB2312"/>
          <w:sz w:val="32"/>
          <w:szCs w:val="32"/>
          <w:lang w:val="en-US" w:eastAsia="zh-CN"/>
        </w:rPr>
        <w:t>:</w:t>
      </w:r>
      <w:r>
        <w:rPr>
          <w:rFonts w:ascii="仿宋_GB2312" w:eastAsia="仿宋_GB2312"/>
          <w:sz w:val="32"/>
          <w:szCs w:val="32"/>
        </w:rPr>
        <w:t>预算资金主要是农林水行政运行及事业运行人员经费、工资、养老保险缴费、住房保障支出，没有项目资金的预算，实际收入包含了大量项目资金。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5,402.59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288.45</w:t>
      </w:r>
      <w:r>
        <w:rPr>
          <w:rFonts w:hint="eastAsia" w:ascii="仿宋_GB2312" w:eastAsia="仿宋_GB2312"/>
          <w:color w:val="000000" w:themeColor="text1"/>
          <w:sz w:val="32"/>
          <w:szCs w:val="32"/>
        </w:rPr>
        <w:t>万元，占</w:t>
      </w:r>
      <w:r>
        <w:rPr>
          <w:rFonts w:hint="eastAsia" w:ascii="仿宋_GB2312" w:eastAsia="仿宋_GB2312"/>
          <w:sz w:val="32"/>
          <w:szCs w:val="32"/>
        </w:rPr>
        <w:t>5.34%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5,114.14</w:t>
      </w:r>
      <w:r>
        <w:rPr>
          <w:rFonts w:hint="eastAsia" w:ascii="仿宋_GB2312" w:eastAsia="仿宋_GB2312"/>
          <w:color w:val="000000" w:themeColor="text1"/>
          <w:sz w:val="32"/>
          <w:szCs w:val="32"/>
        </w:rPr>
        <w:t>万元，占</w:t>
      </w:r>
      <w:r>
        <w:rPr>
          <w:rFonts w:hint="eastAsia" w:ascii="仿宋_GB2312" w:eastAsia="仿宋_GB2312"/>
          <w:sz w:val="32"/>
          <w:szCs w:val="32"/>
        </w:rPr>
        <w:t>94.66%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与年初预算数相比情况：本年支出年初预算数2,784.9万元，</w:t>
      </w:r>
      <w:r>
        <w:rPr>
          <w:rFonts w:hint="eastAsia" w:ascii="仿宋_GB2312" w:eastAsia="仿宋_GB2312"/>
          <w:sz w:val="32"/>
          <w:szCs w:val="32"/>
        </w:rPr>
        <w:t>决算数5,402.59万元</w:t>
      </w:r>
      <w:r>
        <w:rPr>
          <w:rFonts w:ascii="仿宋_GB2312" w:eastAsia="仿宋_GB2312"/>
          <w:sz w:val="32"/>
          <w:szCs w:val="32"/>
        </w:rPr>
        <w:t>，预决算差异率94%，差异主要原因是</w:t>
      </w:r>
      <w:r>
        <w:rPr>
          <w:rFonts w:hint="eastAsia" w:ascii="仿宋_GB2312" w:eastAsia="仿宋_GB2312"/>
          <w:sz w:val="32"/>
          <w:szCs w:val="32"/>
          <w:lang w:val="en-US" w:eastAsia="zh-CN"/>
        </w:rPr>
        <w:t>:</w:t>
      </w:r>
      <w:r>
        <w:rPr>
          <w:rFonts w:ascii="仿宋_GB2312" w:eastAsia="仿宋_GB2312"/>
          <w:sz w:val="32"/>
          <w:szCs w:val="32"/>
        </w:rPr>
        <w:t>支出年初预算资金主要是农林水行政运行及事业运行人员经费、工资、养老保险缴费、住房保障支出，没有项目资金的预算，实际支出包含了大量项目资金。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2,174.38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，与上年相比，增加153.88万元，增长7.62%，增加的主要原因是：2018年扶贫资金增加。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2,232.96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，与上年相比，增加834.56万元，增长59.68%，增加的主要原因是：</w:t>
      </w:r>
      <w:r>
        <w:rPr>
          <w:rFonts w:ascii="仿宋_GB2312" w:eastAsia="仿宋_GB2312"/>
          <w:sz w:val="32"/>
          <w:szCs w:val="32"/>
        </w:rPr>
        <w:t>加大项目实施进度，项目资金支付力度增强,尤其是各扶贫项目资金支付力度很大，确保贫困户及早收益。</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288.36</w:t>
      </w:r>
      <w:r>
        <w:rPr>
          <w:rFonts w:hint="eastAsia" w:ascii="仿宋_GB2312" w:eastAsia="仿宋_GB2312"/>
          <w:color w:val="000000" w:themeColor="text1"/>
          <w:sz w:val="32"/>
          <w:szCs w:val="32"/>
        </w:rPr>
        <w:t>万元，项目支出</w:t>
      </w:r>
      <w:r>
        <w:rPr>
          <w:rFonts w:hint="eastAsia" w:ascii="仿宋_GB2312" w:eastAsia="仿宋_GB2312"/>
          <w:sz w:val="32"/>
          <w:szCs w:val="32"/>
        </w:rPr>
        <w:t>1,944.6</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1,294.7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，与上年相比，减少58.58万元，下降4.33%，减少的主要原因是：加大项目实施力度，项目资金及时支付。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2,784.9</w:t>
      </w:r>
      <w:r>
        <w:rPr>
          <w:rFonts w:hint="eastAsia" w:ascii="仿宋_GB2312" w:eastAsia="仿宋_GB2312"/>
          <w:color w:val="000000" w:themeColor="text1"/>
          <w:sz w:val="32"/>
          <w:szCs w:val="32"/>
        </w:rPr>
        <w:t>万元，决算数</w:t>
      </w:r>
      <w:r>
        <w:rPr>
          <w:rFonts w:hint="eastAsia" w:ascii="仿宋_GB2312" w:eastAsia="仿宋_GB2312"/>
          <w:sz w:val="32"/>
          <w:szCs w:val="32"/>
        </w:rPr>
        <w:t>2,174.38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，预决算差异率-21.92%，差异主要原因是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预算的项目资金没有全部到位实施，故实际财政拨款收入比预算少。</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2,784.9</w:t>
      </w:r>
      <w:r>
        <w:rPr>
          <w:rFonts w:hint="eastAsia" w:ascii="仿宋_GB2312" w:eastAsia="仿宋_GB2312"/>
          <w:color w:val="000000" w:themeColor="text1"/>
          <w:sz w:val="32"/>
          <w:szCs w:val="32"/>
        </w:rPr>
        <w:t>万元，决算数</w:t>
      </w:r>
      <w:r>
        <w:rPr>
          <w:rFonts w:hint="eastAsia" w:ascii="仿宋_GB2312" w:eastAsia="仿宋_GB2312"/>
          <w:sz w:val="32"/>
          <w:szCs w:val="32"/>
        </w:rPr>
        <w:t>2,232.96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，预决算差异率-19.82%，差异主要原因是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预算的项目资金没有全部到位实施，故实际财政拨款支出比预算少。</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2,174.38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，与上年相比，增加153.88万元，增长7.62%，增加的主要原因是：2018年扶贫资金增加，专项资金减少。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2,232.96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，与上年相比，增加834.56万元，增长59.68%，增加的主要原因是：加大项目实施进度，项目资金支付力度增强。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住房保障支出19.31万元,农林水支出2,183.71万元,社会保障和就业支出29.94万元。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工资福利支出263.07万元,商品和服务支出259.3万元,对个人和家庭的补助107.87万元,资本性支出1,602.72万元。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2,784.9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2,174.38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，预决算差异率-21.92%，差异主要原因是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预算的项目资金没有全部到位实施，故实际一般公共预算财政拨款收入比预算少。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2,784.9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2,232.96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，预决算差异率-19.82%，差异主要原因是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预算的项目资金没有全部到位实施，故实际一般公共预算财政拨款支出比预算少。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2018年度无政府性基金预算财政拨款收入。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2018年度无政府性基金预算财政拨款支出。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1,749.7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。与上年相比，增加148.55万元，增长9.28%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1,294.7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。与上年相比，减少58.58万元，下降4.33%。</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，与上年相比，减少3.63万元，下降50.91%，减少的主要原因是：严格执行中央八项规定，控制三公经费开支，减少支出。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100%，与上年相比，减少1.02万元，下降22.57%，减少的主要原因是：上年车辆大修，更换轮胎，今年严格控制车辆运行费用，减少开支；</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0%，与上年相比，减少2.61万元，下降100%，减少的主要原因是：无</w:t>
      </w:r>
      <w:r>
        <w:rPr>
          <w:rFonts w:hint="eastAsia" w:ascii="仿宋_GB2312" w:eastAsia="仿宋_GB2312"/>
          <w:sz w:val="32"/>
          <w:szCs w:val="32"/>
          <w:lang w:eastAsia="zh-CN"/>
        </w:rPr>
        <w:t>。</w:t>
      </w:r>
      <w:r>
        <w:rPr>
          <w:rFonts w:hint="eastAsia" w:ascii="仿宋_GB2312" w:eastAsia="仿宋_GB2312"/>
          <w:sz w:val="32"/>
          <w:szCs w:val="32"/>
        </w:rPr>
        <w:t>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新疆喀什地区泽普县农业局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车辆保险、车辆加油、车辆维修</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新疆喀什地区泽普县农业局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3.5</w:t>
      </w:r>
      <w:r>
        <w:rPr>
          <w:rFonts w:hint="eastAsia" w:ascii="仿宋_GB2312" w:eastAsia="仿宋_GB2312"/>
          <w:color w:val="000000" w:themeColor="text1"/>
          <w:sz w:val="32"/>
          <w:szCs w:val="32"/>
        </w:rPr>
        <w:t>万元，决算数3.5万元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原因是严格执行年初预算资金，按照八项规定，缩减开支，减少支出。</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本单位无因公出国（境）费支出；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本单位无新增公务用车购置数；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严格执行年初预算资金，按照八项规定，缩减开支，减少支出；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bookmarkStart w:id="92" w:name="_GoBack"/>
      <w:bookmarkEnd w:id="92"/>
      <w:r>
        <w:rPr>
          <w:rFonts w:ascii="仿宋_GB2312" w:eastAsia="仿宋_GB2312"/>
          <w:color w:val="000000" w:themeColor="text1"/>
          <w:sz w:val="32"/>
          <w:szCs w:val="32"/>
        </w:rPr>
        <w:t>2018年度无公务接待费。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2018年度新疆喀什地区泽普县农业局机关运行经费支出17.42万元，与上年相比，减少2.91万元，下降14.31%，减少的主要原因是：严格执行八项规定，公用经费逐年递减，节约开支。</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1,664.34</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1,564.34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100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17.26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因单位工作业务，日常下乡公务用车；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根据相关要求，我单位对当年所有项目资金支出做预算绩效自评工作，经主要领导亲自部署安排，由财务人员核对决算收支数据，项目办根据项目具体实施方案，综合考评，针对每个项目做出详细绩效自评，更好的发挥经济效益及社会效益。</w:t>
      </w:r>
    </w:p>
    <w:p>
      <w:pPr>
        <w:spacing w:line="540" w:lineRule="exact"/>
        <w:ind w:left="-1" w:right="-1" w:firstLine="646"/>
        <w:jc w:val="left"/>
      </w:pPr>
      <w:r>
        <w:rPr>
          <w:rFonts w:ascii="仿宋_GB2312" w:hAnsi="仿宋_GB2312" w:eastAsia="仿宋_GB2312" w:cs="仿宋_GB2312"/>
          <w:b w:val="0"/>
          <w:color w:val="auto"/>
          <w:sz w:val="32"/>
          <w:u w:val="none"/>
        </w:rPr>
        <w:t>1、泽普县2018年保鲜库（冷藏库）建设项目绩效自评综述：根据年初设定的绩效目标，该项目绩效自评得分为92分。项目全年预算数为1,039万元，执行数为987.42万元，完成预算的95.04%。主要产出和效果：新建600立方冷藏保鲜库20座，附属配套设施设备全部配齐，覆盖行政村17个，村级基础设施建设进一步加强，20座冷藏库已全部投入使用，延长了农产品的销售期限，可带动农民进行农业产业结构调整，增加受益，提高农民适应市场的能力。发现的问题及原因：因项目合同有质保期限，质保金资金2019年进行支付。下一步改进措施：进一步加强冷藏保鲜库等产地初加工项目的技术指导和服务力度，确保贫困户利益分配得到保障；组织全县冷藏保鲜库管理工作人员进行培训，采取邀请有关专家加强冷藏保鲜库建设、运行和管理进行现场指导、传授经验。</w:t>
      </w:r>
    </w:p>
    <w:p>
      <w:pPr>
        <w:spacing w:line="540" w:lineRule="exact"/>
        <w:ind w:left="-1" w:right="-1" w:firstLine="646"/>
        <w:jc w:val="left"/>
      </w:pPr>
      <w:r>
        <w:rPr>
          <w:rFonts w:ascii="仿宋_GB2312" w:hAnsi="仿宋_GB2312" w:eastAsia="仿宋_GB2312" w:cs="仿宋_GB2312"/>
          <w:b w:val="0"/>
          <w:color w:val="auto"/>
          <w:sz w:val="32"/>
          <w:u w:val="none"/>
        </w:rPr>
        <w:t>2、2018年保鲜库附属设备设施</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项目绩效自评综述：根据年初设定的绩效目标，该项目绩效自评得分为90分。项目全年预算数为528万元，执行数为523.12万元，完成预算的99.07%。主要产出和效果：为2018年新建的16座冷藏保鲜库配齐叉车、托盘、货框,20座保鲜库安装视频监控等附属配套设施设备，覆盖行政村17个，村级基础设施建设进一步加强，20座冷藏库已全部投入使用，延长了农产品的销售期限，带动农民进行农业产业结构调整，增加受益，提高农民适应市场的能力。发现的问题及原因：因项目合同有质保期限，质保金资金2019年进行支付。下一步改进措施：积极探索冷藏保鲜库运作机制，采取公司(合作社)+能人市场化运作模式，提高冷藏保鲜库运行周期，最大限度地提高效益。</w:t>
      </w:r>
    </w:p>
    <w:p>
      <w:pPr>
        <w:spacing w:line="540" w:lineRule="exact"/>
        <w:ind w:left="-1" w:right="-1" w:firstLine="646"/>
        <w:jc w:val="left"/>
      </w:pPr>
      <w:r>
        <w:rPr>
          <w:rFonts w:ascii="仿宋_GB2312" w:hAnsi="仿宋_GB2312" w:eastAsia="仿宋_GB2312" w:cs="仿宋_GB2312"/>
          <w:b w:val="0"/>
          <w:color w:val="auto"/>
          <w:sz w:val="32"/>
          <w:u w:val="none"/>
        </w:rPr>
        <w:t>3、2017年设施农业提质增效项目绩效自评综述：根据年初设定的绩效目标，该项目绩效自评得分为92分。项目全年预算数为</w:t>
      </w:r>
      <w:r>
        <w:rPr>
          <w:rFonts w:hint="eastAsia" w:ascii="仿宋_GB2312" w:hAnsi="仿宋_GB2312" w:eastAsia="仿宋_GB2312" w:cs="仿宋_GB2312"/>
          <w:b w:val="0"/>
          <w:color w:val="auto"/>
          <w:sz w:val="32"/>
          <w:u w:val="none"/>
        </w:rPr>
        <w:t>49</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46.58</w:t>
      </w:r>
      <w:r>
        <w:rPr>
          <w:rFonts w:ascii="仿宋_GB2312" w:hAnsi="仿宋_GB2312" w:eastAsia="仿宋_GB2312" w:cs="仿宋_GB2312"/>
          <w:b w:val="0"/>
          <w:color w:val="auto"/>
          <w:sz w:val="32"/>
          <w:u w:val="none"/>
        </w:rPr>
        <w:t>万元，完成预算的100%。主要产出和效果：供应大量新鲜蔬菜，保障人民健康，满足市场需要；增加上市蔬菜的花色品种；拓宽贫困户的收入渠道。发现的问题及原因：因项目合同有质保期限，质保金资金2019年进行支付。下一步改进措施：邀请有关专家进行现场指导、传授设施农业种植经验，提高农户收入。</w:t>
      </w:r>
    </w:p>
    <w:p>
      <w:pPr>
        <w:spacing w:line="540" w:lineRule="exact"/>
        <w:ind w:left="-1" w:right="-1" w:firstLine="646"/>
        <w:jc w:val="left"/>
      </w:pPr>
      <w:r>
        <w:rPr>
          <w:rFonts w:ascii="仿宋_GB2312" w:hAnsi="仿宋_GB2312" w:eastAsia="仿宋_GB2312" w:cs="仿宋_GB2312"/>
          <w:b w:val="0"/>
          <w:color w:val="auto"/>
          <w:sz w:val="32"/>
          <w:u w:val="none"/>
        </w:rPr>
        <w:t>4、2017耕地地力保护资金项目绩效自评综述：根据年初设定的绩效目标，该项目绩效自评得分为92分。项目全年预算数为4.5万元，执行数为4.5万元，完成预算的100%。主要产出和效果：严格按照自治区统一规定的补贴对象、条件、补贴方法和程序，发放小麦补贴、正播玉米补贴、青贮饲料补贴、苜蓿补贴、茴香补贴、万寿菊补贴、马铃薯补贴。通过项目实施，进一步提高农民种粮积极性，确保粮食安全；加快推进农业适度规模经营，提高农产品效益和竞争力；促进农业结构调整优化，农业发展方式转变和农民多渠道增收；培育新型职业农民，提高新型经营主体能力和水平；促进农村一二三产业融合发展，推动发展新业态。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加强农业补贴政策补贴情况的日常监督，采取定期与不定期抽查、明查与暗访结合、专项监督审计与交叉检查等有效形式，对补贴资金的申报、公示、审核、发放等环节加强监管，纠正农业补贴政策资金发放过程中出现的各种问题，确保农业补贴政策落实到位。</w:t>
      </w:r>
    </w:p>
    <w:p>
      <w:pPr>
        <w:spacing w:line="540" w:lineRule="exact"/>
        <w:ind w:left="-1" w:right="-1" w:firstLine="646"/>
        <w:jc w:val="left"/>
      </w:pPr>
      <w:r>
        <w:rPr>
          <w:rFonts w:ascii="仿宋_GB2312" w:hAnsi="仿宋_GB2312" w:eastAsia="仿宋_GB2312" w:cs="仿宋_GB2312"/>
          <w:b w:val="0"/>
          <w:color w:val="auto"/>
          <w:sz w:val="32"/>
          <w:u w:val="none"/>
        </w:rPr>
        <w:t>5、2017年温室运行及育苗经费项目绩效自评综述：根据年初设定的绩效目标，该项目绩效自评得分为90分。项目全年预算数为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rPr>
        <w:t>20</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11.38</w:t>
      </w:r>
      <w:r>
        <w:rPr>
          <w:rFonts w:ascii="仿宋_GB2312" w:hAnsi="仿宋_GB2312" w:eastAsia="仿宋_GB2312" w:cs="仿宋_GB2312"/>
          <w:b w:val="0"/>
          <w:color w:val="auto"/>
          <w:sz w:val="32"/>
          <w:u w:val="none"/>
        </w:rPr>
        <w:t>万元，完成预算的100%。主要产出和效果：温室大棚每年育苗80-120万株，为我县所有平困村农户无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偿提供各类蔬菜苗，增加庭院经济收入，提高农户种植果蔬积极。发现的问题及原因：一、因项目资金跨年使用，第二年初开始育苗供应大棚种植，所以资金当年有结余；二、个别农户因种植经验不足，导致菜苗长势一般，产量小。下一步改进措施：组织农技专家进行现场指导、传授农业种植经验，提高农户种植水平，增加产量，提高收入。</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6、2017年农业遥感检测经费项目绩效自评综述：根据年初设定的绩效目标，该项目绩效自评得分为90分。项目全年预算数为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rPr>
        <w:t>9</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6.08</w:t>
      </w:r>
      <w:r>
        <w:rPr>
          <w:rFonts w:ascii="仿宋_GB2312" w:hAnsi="仿宋_GB2312" w:eastAsia="仿宋_GB2312" w:cs="仿宋_GB2312"/>
          <w:b w:val="0"/>
          <w:color w:val="auto"/>
          <w:sz w:val="32"/>
          <w:u w:val="none"/>
        </w:rPr>
        <w:t>万元，完成预算的100%。主要产出和效果：通过与常规统计调查手段相结合，共同构建成现代立体型农业信息采集处理分析系统对农业生产、管理和我县土壤墒情和农作物长势的检测。发现的问题及原因：因资金年末才到位，每月都需进行土壤检测，故费用当年有结余，第二年继续检测，产生费用持续支付。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7、2017年乡镇农产品检测设备补齐项目绩效自评综述：根据年初设定的绩效目标，该项目绩效自评得分为90分。项目全年预算数为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rPr>
        <w:t>6.5</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5.</w:t>
      </w:r>
      <w:r>
        <w:rPr>
          <w:rFonts w:hint="eastAsia" w:ascii="仿宋_GB2312" w:hAnsi="仿宋_GB2312" w:eastAsia="仿宋_GB2312" w:cs="仿宋_GB2312"/>
          <w:b w:val="0"/>
          <w:color w:val="auto"/>
          <w:sz w:val="32"/>
          <w:u w:val="none"/>
          <w:lang w:val="en-US" w:eastAsia="zh-CN"/>
        </w:rPr>
        <w:t>3</w:t>
      </w:r>
      <w:r>
        <w:rPr>
          <w:rFonts w:ascii="仿宋_GB2312" w:hAnsi="仿宋_GB2312" w:eastAsia="仿宋_GB2312" w:cs="仿宋_GB2312"/>
          <w:b w:val="0"/>
          <w:color w:val="auto"/>
          <w:sz w:val="32"/>
          <w:u w:val="none"/>
        </w:rPr>
        <w:t>万元，完成预算的100%。主要产出和效果：检测我县乡镇农产品农药残、兽药残留等，提升我县乡镇农产品质量检测水平，提高农产品销售渠道，增加农户收入。发现的问题及原因：乡镇检测人员技术有限。下一步改进措施：组织乡镇检测人员培训，由专业检测人员传授经验，切实提高检测能力，确保工作成效。</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8、2017中央（农业生产发展资金）农产品产地初加工项目绩效自评综述：根据年初设定的绩效目标，该项目绩效自评得分为80分。项目全年预算数为</w:t>
      </w:r>
      <w:r>
        <w:rPr>
          <w:rFonts w:hint="eastAsia" w:ascii="仿宋_GB2312" w:hAnsi="仿宋_GB2312" w:eastAsia="仿宋_GB2312" w:cs="仿宋_GB2312"/>
          <w:b w:val="0"/>
          <w:color w:val="auto"/>
          <w:sz w:val="32"/>
          <w:u w:val="none"/>
        </w:rPr>
        <w:t>255</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27.96</w:t>
      </w:r>
      <w:r>
        <w:rPr>
          <w:rFonts w:ascii="仿宋_GB2312" w:hAnsi="仿宋_GB2312" w:eastAsia="仿宋_GB2312" w:cs="仿宋_GB2312"/>
          <w:b w:val="0"/>
          <w:color w:val="auto"/>
          <w:sz w:val="32"/>
          <w:u w:val="none"/>
        </w:rPr>
        <w:t>万元，完成预算的100%。主要产出和效果：新建50吨组装式冷藏库的数量。提升对我县果蔬贮藏的能力，提高农产品初加工水平，减损增效，促进农业增收，实现农业扶贫，精准扶贫　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9、泽普县2018年马铃薯种植项目绩效自评综述：根据年初设定的绩效目标，该项目绩效自评得分为92分。项目全年预算数为93.3万元，执行数为92.7万元，完成预算的99.35%。主要产出和效果：引进生产马铃薯原种50万粒，为我县马铃薯产业发展提供种暑资源，促进种植业进一步调整优化结构，实现农业增产，农民增收的目标。完善移民点15座蔬莱大棚基础设施建设及其配套棉被、三相电等，为我县设施农业的发展奠定坚实的基础。发现的问题及原因：因项目合同有质保期限，质保金资金2019年进行支付。下一步改进措施：组织、邀请相关专家进行现场指导、传授农业种植经验，提高农户种植马铃薯水平，增加产量，提高收入。</w:t>
      </w:r>
    </w:p>
    <w:p>
      <w:pPr>
        <w:spacing w:line="540" w:lineRule="exact"/>
        <w:ind w:left="-1" w:right="-1" w:firstLine="646"/>
        <w:jc w:val="left"/>
      </w:pPr>
      <w:r>
        <w:rPr>
          <w:rFonts w:ascii="仿宋_GB2312" w:hAnsi="仿宋_GB2312" w:eastAsia="仿宋_GB2312" w:cs="仿宋_GB2312"/>
          <w:b w:val="0"/>
          <w:color w:val="auto"/>
          <w:sz w:val="32"/>
          <w:u w:val="none"/>
        </w:rPr>
        <w:t>10、2018年耕地地力保护补贴资金项目绩效自评综述：根据年初设定的绩效目标，该项目绩效自评得分为92分。项目全年预算数为3,373.47万元，执行数为3,147.53万元，完成预算的93.3%。主要产出和效果：严格按照自治区统一规定的补贴对象、条件、补贴方法和程序，发放小麦补贴、正播玉米补贴、青贮饲料补贴、苜蓿补贴、茴香补贴、万寿菊补贴、马铃薯补贴。通过项目实施，进一步提高农民种粮积极性，确保粮食安全；加快推进农业适度规模经营，提高农产品效益和竞争力；促进农业结构调整优化，农业发展方式转变和农民多渠道增收；培育新型职业农民，提高新型经营主体能力和水平；促进农村一二三产业融合发展，推动发展新业态。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加强农业补贴政策补贴情况的日常监督，采取定期与不定期抽查、明查与暗访结合、专项监督审计与交叉检查等有效形式，对补贴资金的申报、公示、审核、发放等环节加强监管，纠正农业补贴政策资金发放过程中出现的各种问题，确保农业补贴政策落实到位。</w:t>
      </w:r>
    </w:p>
    <w:p>
      <w:pPr>
        <w:spacing w:line="540" w:lineRule="exact"/>
        <w:ind w:left="-1" w:right="-1" w:firstLine="646"/>
        <w:jc w:val="left"/>
      </w:pPr>
      <w:r>
        <w:rPr>
          <w:rFonts w:ascii="仿宋_GB2312" w:hAnsi="仿宋_GB2312" w:eastAsia="仿宋_GB2312" w:cs="仿宋_GB2312"/>
          <w:b w:val="0"/>
          <w:color w:val="auto"/>
          <w:sz w:val="32"/>
          <w:u w:val="none"/>
        </w:rPr>
        <w:t>11、泽普县2018年新品种农作物引进种植（新西兰小南瓜引进种植）项目绩效自评综述：根据年初设定的绩效目标，该项目绩效自评得分为92分。项目全年预算数为148万元，执行数为148万元，完成预算的100%。主要产出和效果：建设新西兰小南瓜标准化生产田500亩，购小南瓜种子30万粒，辐射133个村的农民庭园种植小南瓜，利用新定植的葡萄架种植小南瓜，项目初见成效；提高贫困户庭院生产积极性，丰富上市蔬菜的花色品种，带动农民进行农业产业结构调整，改善贫困群众生产生活环境，助推脱贫攻坚。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下一步改进措施：组织、邀请相关专家进行现场指导、传授农业种植经验，提高农户种植小南瓜水平，增加产量，提高收入。</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12、泽普县2018年拱棚建设项目绩效自评综述：根据年初设定的绩效目标，该项目绩效自评得分为90分。项目全年预算数为</w:t>
      </w:r>
      <w:r>
        <w:rPr>
          <w:rFonts w:hint="eastAsia" w:ascii="仿宋_GB2312" w:hAnsi="仿宋_GB2312" w:eastAsia="仿宋_GB2312" w:cs="仿宋_GB2312"/>
          <w:b w:val="0"/>
          <w:color w:val="auto"/>
          <w:sz w:val="32"/>
          <w:u w:val="none"/>
        </w:rPr>
        <w:t>79.58</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78.26</w:t>
      </w:r>
      <w:r>
        <w:rPr>
          <w:rFonts w:ascii="仿宋_GB2312" w:hAnsi="仿宋_GB2312" w:eastAsia="仿宋_GB2312" w:cs="仿宋_GB2312"/>
          <w:b w:val="0"/>
          <w:color w:val="auto"/>
          <w:sz w:val="32"/>
          <w:u w:val="none"/>
        </w:rPr>
        <w:t>万元，完成预算的100%。主要产出和效果：全年新建拱棚376座，80m2的331座，50m2的45座，目前第一茬蔬菜已经供应上市，增加了上市蔬菜的花色品种，拓宽了贫困户的收入渠道。发现的问题及原因：因项目合同有质保期限，质保金资金2019年进行支付。下一步改进措施：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改进措施</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13、2018布依鲁克乡冷库附属工程</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项目绩效自评综述：根据年初设定的绩效目标，该项目绩效自评得分为93分。项目全年预算数为26.93万元，执行数为21.53万元，完成预算的79.95%。主要产出和效果：为新建的2座保鲜库修建200平方米钢结构棚子1个、70平方米销售中心1座，村级基础设施建设进一步加强，帮助延长农产品的销售期限，增加受益。发现的问题及原因：因项目合同有质保期限，质保金资金2019年进行支付。下一步改进措施：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改进措施</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14、2015年农业生产救灾项目绩效自评综述：根据年初设定的绩效目标，该项目绩效自评得分为93分。项目全年预算数为</w:t>
      </w:r>
      <w:r>
        <w:rPr>
          <w:rFonts w:hint="eastAsia" w:ascii="仿宋_GB2312" w:hAnsi="仿宋_GB2312" w:eastAsia="仿宋_GB2312" w:cs="仿宋_GB2312"/>
          <w:b w:val="0"/>
          <w:color w:val="auto"/>
          <w:sz w:val="32"/>
          <w:u w:val="none"/>
        </w:rPr>
        <w:t>8.55</w:t>
      </w:r>
      <w:r>
        <w:rPr>
          <w:rFonts w:ascii="仿宋_GB2312" w:hAnsi="仿宋_GB2312" w:eastAsia="仿宋_GB2312" w:cs="仿宋_GB2312"/>
          <w:b w:val="0"/>
          <w:color w:val="auto"/>
          <w:sz w:val="32"/>
          <w:u w:val="none"/>
        </w:rPr>
        <w:t>万元，执行数为</w:t>
      </w:r>
      <w:r>
        <w:rPr>
          <w:rFonts w:hint="eastAsia" w:ascii="仿宋_GB2312" w:hAnsi="仿宋_GB2312" w:eastAsia="仿宋_GB2312" w:cs="仿宋_GB2312"/>
          <w:b w:val="0"/>
          <w:color w:val="auto"/>
          <w:sz w:val="32"/>
          <w:u w:val="none"/>
        </w:rPr>
        <w:t>8.55</w:t>
      </w:r>
      <w:r>
        <w:rPr>
          <w:rFonts w:ascii="仿宋_GB2312" w:hAnsi="仿宋_GB2312" w:eastAsia="仿宋_GB2312" w:cs="仿宋_GB2312"/>
          <w:b w:val="0"/>
          <w:color w:val="auto"/>
          <w:sz w:val="32"/>
          <w:u w:val="none"/>
        </w:rPr>
        <w:t>万元，完成预算的100%。主要产出和效果：主要用于补贴受灾农户农作物，减少农户经济损失，减轻农户经济压力。发现的问题及原因：无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15、2015年中央农业技术推广与服务资金　项目绩效自评综述：根据年初设定的绩效目标，该项目绩效自评得分为91分。项目全年预算数为5.23万元，执行数为5.23万元，完成预算的100%。主要产出和效果：引进抗病、高产、营养丰富的饲草新品种3个，购置饲草青贮加工设备30套，示范种植花生1000亩，为做好我县农业技术推广与应用工作，推动我县农业新技术应用、新品种推广，发挥实际效益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06（项）指：科技转化与推广服务。213（类）01（款）04（项）指：事业运行。213（类）05（款）05（项）指：生产发展。213（类）08（款）03（项）指：农业保险保费补贴。221（类）02（款）01（项）指：住房公积金。213（类）01（款）19（项）指：防灾救灾。213（类）01（款）01（项）指：行政运行。208（类）05（款）05（项）指：机关事业单位基本养老保险缴费支出。213（类）01（款）11（项）指：统计监测与信息服务。213（类）01（款）22（项）指：农业生产支持补贴。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4F5295"/>
    <w:rsid w:val="03AA79F6"/>
    <w:rsid w:val="04741FE5"/>
    <w:rsid w:val="04DB02C7"/>
    <w:rsid w:val="051C759B"/>
    <w:rsid w:val="06B856EE"/>
    <w:rsid w:val="07FE5938"/>
    <w:rsid w:val="084604BC"/>
    <w:rsid w:val="08883825"/>
    <w:rsid w:val="09725983"/>
    <w:rsid w:val="0A382BB5"/>
    <w:rsid w:val="0AA4543A"/>
    <w:rsid w:val="0BE61132"/>
    <w:rsid w:val="0C1B3519"/>
    <w:rsid w:val="0C9B0DD6"/>
    <w:rsid w:val="0CE4791C"/>
    <w:rsid w:val="0E063C64"/>
    <w:rsid w:val="0E521DE5"/>
    <w:rsid w:val="0F4C7B96"/>
    <w:rsid w:val="0FFB575E"/>
    <w:rsid w:val="10845F1B"/>
    <w:rsid w:val="11463A00"/>
    <w:rsid w:val="11600918"/>
    <w:rsid w:val="11B0398F"/>
    <w:rsid w:val="13B960C5"/>
    <w:rsid w:val="152777F4"/>
    <w:rsid w:val="15C674B6"/>
    <w:rsid w:val="18D54A0D"/>
    <w:rsid w:val="1A4106A0"/>
    <w:rsid w:val="1A4F5437"/>
    <w:rsid w:val="1AB77CD0"/>
    <w:rsid w:val="1BE0777C"/>
    <w:rsid w:val="1C58661B"/>
    <w:rsid w:val="1E807156"/>
    <w:rsid w:val="1EA657F6"/>
    <w:rsid w:val="1F097CB6"/>
    <w:rsid w:val="211D1CE6"/>
    <w:rsid w:val="2166156B"/>
    <w:rsid w:val="21B02D83"/>
    <w:rsid w:val="22A236F5"/>
    <w:rsid w:val="22EC4468"/>
    <w:rsid w:val="23995975"/>
    <w:rsid w:val="2432220E"/>
    <w:rsid w:val="24386AA4"/>
    <w:rsid w:val="248303BA"/>
    <w:rsid w:val="24837E47"/>
    <w:rsid w:val="252E01AA"/>
    <w:rsid w:val="2680023E"/>
    <w:rsid w:val="29680352"/>
    <w:rsid w:val="2A020F75"/>
    <w:rsid w:val="2B007AEE"/>
    <w:rsid w:val="2BC14C56"/>
    <w:rsid w:val="2C1B026F"/>
    <w:rsid w:val="2C2F0C6C"/>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BC2AFA"/>
    <w:rsid w:val="4CFC7DB2"/>
    <w:rsid w:val="4D181114"/>
    <w:rsid w:val="4E7C187D"/>
    <w:rsid w:val="508941AD"/>
    <w:rsid w:val="50E65530"/>
    <w:rsid w:val="51457139"/>
    <w:rsid w:val="51574DBD"/>
    <w:rsid w:val="51EC1DA8"/>
    <w:rsid w:val="52FC5524"/>
    <w:rsid w:val="532D7A17"/>
    <w:rsid w:val="54AF4562"/>
    <w:rsid w:val="54C9674B"/>
    <w:rsid w:val="556318EA"/>
    <w:rsid w:val="55A60AA1"/>
    <w:rsid w:val="56451615"/>
    <w:rsid w:val="56A65BB3"/>
    <w:rsid w:val="57FC5774"/>
    <w:rsid w:val="59B332C9"/>
    <w:rsid w:val="5A44758A"/>
    <w:rsid w:val="5BEC4BB3"/>
    <w:rsid w:val="5C070B55"/>
    <w:rsid w:val="5CB96DCE"/>
    <w:rsid w:val="5CE61580"/>
    <w:rsid w:val="5D175666"/>
    <w:rsid w:val="5D556A3C"/>
    <w:rsid w:val="5D7B25C9"/>
    <w:rsid w:val="5DEA5955"/>
    <w:rsid w:val="5ECB44B4"/>
    <w:rsid w:val="5EE2043C"/>
    <w:rsid w:val="602D2E37"/>
    <w:rsid w:val="61460FBE"/>
    <w:rsid w:val="62775810"/>
    <w:rsid w:val="62D83744"/>
    <w:rsid w:val="630F4048"/>
    <w:rsid w:val="63AA02E5"/>
    <w:rsid w:val="64700DE9"/>
    <w:rsid w:val="65C613BD"/>
    <w:rsid w:val="65FD118C"/>
    <w:rsid w:val="66E54552"/>
    <w:rsid w:val="682C3D89"/>
    <w:rsid w:val="68611305"/>
    <w:rsid w:val="6A162DE0"/>
    <w:rsid w:val="6A331428"/>
    <w:rsid w:val="6A7A3465"/>
    <w:rsid w:val="6AFB65F4"/>
    <w:rsid w:val="6B2E5CB6"/>
    <w:rsid w:val="6B3D4886"/>
    <w:rsid w:val="6CEF57E4"/>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AF44BA1"/>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348</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2020-04-04T03:00:05Z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