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color w:val="auto"/>
          <w:kern w:val="0"/>
          <w:sz w:val="52"/>
          <w:szCs w:val="52"/>
        </w:rPr>
      </w:pPr>
    </w:p>
    <w:p>
      <w:pPr>
        <w:pStyle w:val="48"/>
        <w:spacing w:line="540" w:lineRule="exact"/>
        <w:jc w:val="center"/>
        <w:rPr>
          <w:rFonts w:ascii="华文中宋" w:hAnsi="华文中宋" w:eastAsia="华文中宋" w:cs="华文中宋"/>
          <w:b/>
          <w:bCs/>
          <w:color w:val="auto"/>
          <w:kern w:val="0"/>
          <w:sz w:val="52"/>
          <w:szCs w:val="52"/>
        </w:rPr>
      </w:pPr>
    </w:p>
    <w:p>
      <w:pPr>
        <w:pStyle w:val="48"/>
        <w:spacing w:line="540" w:lineRule="exact"/>
        <w:jc w:val="center"/>
        <w:rPr>
          <w:rFonts w:ascii="华文中宋" w:hAnsi="华文中宋" w:eastAsia="华文中宋" w:cs="华文中宋"/>
          <w:b/>
          <w:bCs/>
          <w:color w:val="auto"/>
          <w:kern w:val="0"/>
          <w:sz w:val="52"/>
          <w:szCs w:val="52"/>
        </w:rPr>
      </w:pPr>
    </w:p>
    <w:p>
      <w:pPr>
        <w:pStyle w:val="48"/>
        <w:spacing w:line="540" w:lineRule="exact"/>
        <w:jc w:val="center"/>
        <w:rPr>
          <w:rFonts w:ascii="华文中宋" w:hAnsi="华文中宋" w:eastAsia="华文中宋" w:cs="华文中宋"/>
          <w:b/>
          <w:bCs/>
          <w:color w:val="auto"/>
          <w:kern w:val="0"/>
          <w:sz w:val="52"/>
          <w:szCs w:val="52"/>
        </w:rPr>
      </w:pPr>
    </w:p>
    <w:p>
      <w:pPr>
        <w:pStyle w:val="48"/>
        <w:spacing w:line="540" w:lineRule="exact"/>
        <w:jc w:val="center"/>
        <w:rPr>
          <w:rFonts w:ascii="华文中宋" w:hAnsi="华文中宋" w:eastAsia="华文中宋" w:cs="华文中宋"/>
          <w:b/>
          <w:bCs/>
          <w:color w:val="auto"/>
          <w:kern w:val="0"/>
          <w:sz w:val="52"/>
          <w:szCs w:val="52"/>
        </w:rPr>
      </w:pPr>
    </w:p>
    <w:p>
      <w:pPr>
        <w:pStyle w:val="48"/>
        <w:spacing w:line="540" w:lineRule="exact"/>
        <w:jc w:val="center"/>
        <w:rPr>
          <w:rFonts w:ascii="华文中宋" w:hAnsi="华文中宋" w:eastAsia="华文中宋" w:cs="华文中宋"/>
          <w:b/>
          <w:bCs/>
          <w:color w:val="auto"/>
          <w:kern w:val="0"/>
          <w:sz w:val="52"/>
          <w:szCs w:val="52"/>
        </w:rPr>
      </w:pPr>
    </w:p>
    <w:p>
      <w:pPr>
        <w:pStyle w:val="48"/>
        <w:spacing w:line="540" w:lineRule="exact"/>
        <w:jc w:val="center"/>
        <w:rPr>
          <w:rFonts w:ascii="华文中宋" w:hAnsi="华文中宋" w:eastAsia="华文中宋" w:cs="华文中宋"/>
          <w:b/>
          <w:bCs/>
          <w:color w:val="auto"/>
          <w:kern w:val="0"/>
          <w:sz w:val="52"/>
          <w:szCs w:val="52"/>
          <w:lang w:val="zh-TW" w:eastAsia="zh-TW"/>
        </w:rPr>
      </w:pPr>
      <w:r>
        <w:rPr>
          <w:rFonts w:ascii="华文中宋" w:hAnsi="华文中宋" w:eastAsia="华文中宋" w:cs="华文中宋"/>
          <w:b/>
          <w:bCs/>
          <w:color w:val="auto"/>
          <w:kern w:val="0"/>
          <w:sz w:val="52"/>
          <w:szCs w:val="52"/>
          <w:lang w:val="zh-TW" w:eastAsia="zh-TW"/>
        </w:rPr>
        <w:t>新疆财政支出绩效自评报告</w:t>
      </w:r>
    </w:p>
    <w:p>
      <w:pPr>
        <w:pStyle w:val="48"/>
        <w:spacing w:line="540" w:lineRule="exact"/>
        <w:jc w:val="center"/>
        <w:rPr>
          <w:rFonts w:ascii="华文中宋" w:hAnsi="华文中宋" w:eastAsia="华文中宋" w:cs="华文中宋"/>
          <w:b/>
          <w:bCs/>
          <w:color w:val="auto"/>
          <w:kern w:val="0"/>
          <w:sz w:val="52"/>
          <w:szCs w:val="52"/>
        </w:rPr>
      </w:pPr>
    </w:p>
    <w:p>
      <w:pPr>
        <w:pStyle w:val="48"/>
        <w:spacing w:line="540" w:lineRule="exact"/>
        <w:jc w:val="center"/>
        <w:rPr>
          <w:color w:val="auto"/>
          <w:kern w:val="0"/>
          <w:sz w:val="36"/>
          <w:szCs w:val="36"/>
          <w:lang w:val="zh-TW" w:eastAsia="zh-TW"/>
        </w:rPr>
      </w:pPr>
      <w:r>
        <w:rPr>
          <w:rFonts w:ascii="仿宋_GB2312" w:hAnsi="仿宋_GB2312" w:eastAsia="仿宋_GB2312" w:cs="仿宋_GB2312"/>
          <w:color w:val="auto"/>
          <w:kern w:val="0"/>
          <w:sz w:val="36"/>
          <w:szCs w:val="36"/>
          <w:lang w:val="zh-TW" w:eastAsia="zh-TW"/>
        </w:rPr>
        <w:t>（201</w:t>
      </w:r>
      <w:r>
        <w:rPr>
          <w:rFonts w:hint="eastAsia" w:ascii="仿宋_GB2312" w:hAnsi="仿宋_GB2312" w:eastAsia="仿宋_GB2312" w:cs="仿宋_GB2312"/>
          <w:color w:val="auto"/>
          <w:kern w:val="0"/>
          <w:sz w:val="36"/>
          <w:szCs w:val="36"/>
          <w:lang w:val="en-US" w:eastAsia="zh-CN"/>
        </w:rPr>
        <w:t>8</w:t>
      </w:r>
      <w:r>
        <w:rPr>
          <w:rFonts w:ascii="仿宋_GB2312" w:hAnsi="仿宋_GB2312" w:eastAsia="仿宋_GB2312" w:cs="仿宋_GB2312"/>
          <w:color w:val="auto"/>
          <w:kern w:val="0"/>
          <w:sz w:val="36"/>
          <w:szCs w:val="36"/>
          <w:lang w:val="zh-TW" w:eastAsia="zh-TW"/>
        </w:rPr>
        <w:t>年度）</w:t>
      </w:r>
    </w:p>
    <w:p>
      <w:pPr>
        <w:pStyle w:val="48"/>
        <w:spacing w:line="540" w:lineRule="exact"/>
        <w:jc w:val="center"/>
        <w:rPr>
          <w:color w:val="auto"/>
          <w:kern w:val="0"/>
          <w:sz w:val="30"/>
          <w:szCs w:val="30"/>
        </w:rPr>
      </w:pPr>
    </w:p>
    <w:p>
      <w:pPr>
        <w:pStyle w:val="48"/>
        <w:spacing w:line="540" w:lineRule="exact"/>
        <w:jc w:val="center"/>
        <w:rPr>
          <w:color w:val="auto"/>
          <w:kern w:val="0"/>
          <w:sz w:val="30"/>
          <w:szCs w:val="30"/>
        </w:rPr>
      </w:pPr>
    </w:p>
    <w:p>
      <w:pPr>
        <w:pStyle w:val="48"/>
        <w:spacing w:line="540" w:lineRule="exact"/>
        <w:jc w:val="center"/>
        <w:rPr>
          <w:color w:val="auto"/>
          <w:kern w:val="0"/>
          <w:sz w:val="30"/>
          <w:szCs w:val="30"/>
        </w:rPr>
      </w:pPr>
    </w:p>
    <w:p>
      <w:pPr>
        <w:pStyle w:val="48"/>
        <w:spacing w:line="540" w:lineRule="exact"/>
        <w:jc w:val="center"/>
        <w:rPr>
          <w:color w:val="auto"/>
          <w:kern w:val="0"/>
          <w:sz w:val="30"/>
          <w:szCs w:val="30"/>
        </w:rPr>
      </w:pPr>
    </w:p>
    <w:p>
      <w:pPr>
        <w:pStyle w:val="48"/>
        <w:spacing w:line="540" w:lineRule="exact"/>
        <w:jc w:val="center"/>
        <w:rPr>
          <w:color w:val="auto"/>
          <w:kern w:val="0"/>
          <w:sz w:val="30"/>
          <w:szCs w:val="30"/>
        </w:rPr>
      </w:pPr>
    </w:p>
    <w:p>
      <w:pPr>
        <w:pStyle w:val="48"/>
        <w:spacing w:line="540" w:lineRule="exact"/>
        <w:rPr>
          <w:color w:val="auto"/>
          <w:kern w:val="0"/>
          <w:sz w:val="30"/>
          <w:szCs w:val="30"/>
        </w:rPr>
      </w:pPr>
    </w:p>
    <w:p>
      <w:pPr>
        <w:pStyle w:val="48"/>
        <w:spacing w:line="540" w:lineRule="exact"/>
        <w:rPr>
          <w:color w:val="auto"/>
          <w:kern w:val="0"/>
          <w:sz w:val="30"/>
          <w:szCs w:val="30"/>
        </w:rPr>
      </w:pPr>
    </w:p>
    <w:p>
      <w:pPr>
        <w:pStyle w:val="48"/>
        <w:spacing w:line="700" w:lineRule="exact"/>
        <w:ind w:left="2518" w:leftChars="342" w:hanging="1800" w:hangingChars="500"/>
        <w:jc w:val="left"/>
        <w:rPr>
          <w:rFonts w:ascii="仿宋_GB2312" w:hAnsi="仿宋_GB2312" w:eastAsia="仿宋_GB2312" w:cs="仿宋_GB2312"/>
          <w:color w:val="auto"/>
          <w:kern w:val="0"/>
          <w:sz w:val="36"/>
          <w:szCs w:val="36"/>
        </w:rPr>
      </w:pPr>
      <w:r>
        <w:rPr>
          <w:rFonts w:ascii="仿宋_GB2312" w:hAnsi="仿宋_GB2312" w:eastAsia="仿宋_GB2312" w:cs="仿宋_GB2312"/>
          <w:color w:val="auto"/>
          <w:kern w:val="0"/>
          <w:sz w:val="36"/>
          <w:szCs w:val="36"/>
          <w:lang w:val="zh-TW" w:eastAsia="zh-TW"/>
        </w:rPr>
        <w:t>项目名称：</w:t>
      </w:r>
      <w:r>
        <w:rPr>
          <w:rFonts w:hint="eastAsia" w:ascii="仿宋_GB2312" w:hAnsi="仿宋_GB2312" w:eastAsia="仿宋_GB2312" w:cs="仿宋_GB2312"/>
          <w:color w:val="auto"/>
          <w:kern w:val="0"/>
          <w:sz w:val="36"/>
          <w:szCs w:val="36"/>
        </w:rPr>
        <w:t>201</w:t>
      </w:r>
      <w:r>
        <w:rPr>
          <w:rFonts w:hint="eastAsia" w:ascii="仿宋_GB2312" w:hAnsi="仿宋_GB2312" w:eastAsia="仿宋_GB2312" w:cs="仿宋_GB2312"/>
          <w:color w:val="auto"/>
          <w:kern w:val="0"/>
          <w:sz w:val="36"/>
          <w:szCs w:val="36"/>
          <w:lang w:val="en-US" w:eastAsia="zh-CN"/>
        </w:rPr>
        <w:t>8</w:t>
      </w:r>
      <w:r>
        <w:rPr>
          <w:rFonts w:hint="eastAsia" w:ascii="仿宋_GB2312" w:hAnsi="仿宋_GB2312" w:eastAsia="仿宋_GB2312" w:cs="仿宋_GB2312"/>
          <w:color w:val="auto"/>
          <w:kern w:val="0"/>
          <w:sz w:val="36"/>
          <w:szCs w:val="36"/>
        </w:rPr>
        <w:t>年自治区偏远贫困地区农村水厂电费补助资金项目</w:t>
      </w:r>
    </w:p>
    <w:p>
      <w:pPr>
        <w:pStyle w:val="48"/>
        <w:spacing w:line="700" w:lineRule="exact"/>
        <w:ind w:left="3958" w:leftChars="342" w:hanging="3240" w:hangingChars="900"/>
        <w:jc w:val="left"/>
        <w:rPr>
          <w:rFonts w:eastAsia="仿宋_GB2312"/>
          <w:color w:val="auto"/>
          <w:kern w:val="0"/>
          <w:sz w:val="36"/>
          <w:szCs w:val="36"/>
          <w:lang w:val="zh-TW"/>
        </w:rPr>
      </w:pPr>
      <w:r>
        <w:rPr>
          <w:rFonts w:ascii="仿宋_GB2312" w:hAnsi="仿宋_GB2312" w:eastAsia="仿宋_GB2312" w:cs="仿宋_GB2312"/>
          <w:color w:val="auto"/>
          <w:kern w:val="0"/>
          <w:sz w:val="36"/>
          <w:szCs w:val="36"/>
          <w:lang w:val="zh-TW" w:eastAsia="zh-TW"/>
        </w:rPr>
        <w:t>实施单位（公章）：</w:t>
      </w:r>
      <w:r>
        <w:rPr>
          <w:rFonts w:hint="eastAsia" w:ascii="仿宋_GB2312" w:hAnsi="仿宋_GB2312" w:eastAsia="仿宋_GB2312" w:cs="仿宋_GB2312"/>
          <w:color w:val="auto"/>
          <w:kern w:val="0"/>
          <w:sz w:val="36"/>
          <w:szCs w:val="36"/>
          <w:lang w:val="zh-TW"/>
        </w:rPr>
        <w:t>泽普县农村饮水安全工程管理站</w:t>
      </w:r>
    </w:p>
    <w:p>
      <w:pPr>
        <w:pStyle w:val="48"/>
        <w:spacing w:line="700" w:lineRule="exact"/>
        <w:ind w:firstLine="720" w:firstLineChars="200"/>
        <w:jc w:val="left"/>
        <w:rPr>
          <w:rFonts w:eastAsia="仿宋_GB2312"/>
          <w:color w:val="auto"/>
          <w:kern w:val="0"/>
          <w:sz w:val="36"/>
          <w:szCs w:val="36"/>
          <w:lang w:val="zh-TW"/>
        </w:rPr>
      </w:pPr>
      <w:r>
        <w:rPr>
          <w:rFonts w:ascii="仿宋_GB2312" w:hAnsi="仿宋_GB2312" w:eastAsia="仿宋_GB2312" w:cs="仿宋_GB2312"/>
          <w:color w:val="auto"/>
          <w:kern w:val="0"/>
          <w:sz w:val="36"/>
          <w:szCs w:val="36"/>
          <w:lang w:val="zh-TW" w:eastAsia="zh-TW"/>
        </w:rPr>
        <w:t>主管部门（公章）：</w:t>
      </w:r>
      <w:r>
        <w:rPr>
          <w:rFonts w:hint="eastAsia" w:ascii="仿宋_GB2312" w:hAnsi="仿宋_GB2312" w:eastAsia="仿宋_GB2312" w:cs="仿宋_GB2312"/>
          <w:color w:val="auto"/>
          <w:kern w:val="0"/>
          <w:sz w:val="36"/>
          <w:szCs w:val="36"/>
          <w:lang w:val="zh-TW"/>
        </w:rPr>
        <w:t>泽普县水利局</w:t>
      </w:r>
    </w:p>
    <w:p>
      <w:pPr>
        <w:pStyle w:val="48"/>
        <w:spacing w:line="700" w:lineRule="exact"/>
        <w:ind w:firstLine="720" w:firstLineChars="200"/>
        <w:jc w:val="left"/>
        <w:rPr>
          <w:rFonts w:eastAsia="仿宋_GB2312"/>
          <w:color w:val="auto"/>
          <w:kern w:val="0"/>
          <w:sz w:val="36"/>
          <w:szCs w:val="36"/>
        </w:rPr>
      </w:pPr>
      <w:r>
        <w:rPr>
          <w:rFonts w:ascii="仿宋_GB2312" w:hAnsi="仿宋_GB2312" w:eastAsia="仿宋_GB2312" w:cs="仿宋_GB2312"/>
          <w:color w:val="auto"/>
          <w:kern w:val="0"/>
          <w:sz w:val="36"/>
          <w:szCs w:val="36"/>
          <w:lang w:val="zh-TW" w:eastAsia="zh-TW"/>
        </w:rPr>
        <w:t>项目负责人（签章）：</w:t>
      </w:r>
      <w:r>
        <w:rPr>
          <w:rFonts w:hint="eastAsia" w:ascii="仿宋_GB2312" w:hAnsi="仿宋_GB2312" w:eastAsia="仿宋_GB2312" w:cs="仿宋_GB2312"/>
          <w:color w:val="auto"/>
          <w:kern w:val="0"/>
          <w:sz w:val="36"/>
          <w:szCs w:val="36"/>
          <w:lang w:val="zh-TW"/>
        </w:rPr>
        <w:t>木塔力甫</w:t>
      </w:r>
      <w:r>
        <w:rPr>
          <w:rFonts w:hint="eastAsia" w:ascii="仿宋_GB2312" w:hAnsi="仿宋_GB2312" w:eastAsia="仿宋_GB2312" w:cs="仿宋_GB2312"/>
          <w:color w:val="auto"/>
          <w:kern w:val="0"/>
          <w:sz w:val="36"/>
          <w:szCs w:val="36"/>
        </w:rPr>
        <w:t>·托合提</w:t>
      </w:r>
    </w:p>
    <w:p>
      <w:pPr>
        <w:pStyle w:val="48"/>
        <w:spacing w:line="700" w:lineRule="exact"/>
        <w:ind w:firstLine="720" w:firstLineChars="200"/>
        <w:jc w:val="left"/>
        <w:rPr>
          <w:rFonts w:ascii="仿宋_GB2312" w:hAnsi="仿宋_GB2312" w:eastAsia="仿宋_GB2312" w:cs="仿宋_GB2312"/>
          <w:color w:val="auto"/>
          <w:kern w:val="0"/>
          <w:sz w:val="36"/>
          <w:szCs w:val="36"/>
          <w:lang w:val="zh-TW"/>
        </w:rPr>
      </w:pPr>
      <w:r>
        <w:rPr>
          <w:rFonts w:ascii="仿宋_GB2312" w:hAnsi="仿宋_GB2312" w:eastAsia="仿宋_GB2312" w:cs="仿宋_GB2312"/>
          <w:color w:val="auto"/>
          <w:kern w:val="0"/>
          <w:sz w:val="36"/>
          <w:szCs w:val="36"/>
          <w:lang w:val="zh-TW" w:eastAsia="zh-TW"/>
        </w:rPr>
        <w:t>填报时间：201</w:t>
      </w:r>
      <w:r>
        <w:rPr>
          <w:rFonts w:hint="eastAsia" w:ascii="仿宋_GB2312" w:hAnsi="仿宋_GB2312" w:eastAsia="仿宋_GB2312" w:cs="仿宋_GB2312"/>
          <w:color w:val="auto"/>
          <w:kern w:val="0"/>
          <w:sz w:val="36"/>
          <w:szCs w:val="36"/>
          <w:lang w:val="en-US" w:eastAsia="zh-CN"/>
        </w:rPr>
        <w:t>8</w:t>
      </w:r>
      <w:r>
        <w:rPr>
          <w:rFonts w:ascii="仿宋_GB2312" w:hAnsi="仿宋_GB2312" w:eastAsia="仿宋_GB2312" w:cs="仿宋_GB2312"/>
          <w:color w:val="auto"/>
          <w:kern w:val="0"/>
          <w:sz w:val="36"/>
          <w:szCs w:val="36"/>
          <w:lang w:val="zh-TW" w:eastAsia="zh-TW"/>
        </w:rPr>
        <w:t>年12月</w:t>
      </w:r>
      <w:r>
        <w:rPr>
          <w:rFonts w:hint="eastAsia" w:ascii="仿宋_GB2312" w:hAnsi="仿宋_GB2312" w:eastAsia="仿宋_GB2312" w:cs="仿宋_GB2312"/>
          <w:color w:val="auto"/>
          <w:kern w:val="0"/>
          <w:sz w:val="36"/>
          <w:szCs w:val="36"/>
          <w:lang w:val="zh-TW"/>
        </w:rPr>
        <w:t>10</w:t>
      </w:r>
      <w:r>
        <w:rPr>
          <w:rFonts w:ascii="仿宋_GB2312" w:hAnsi="仿宋_GB2312" w:eastAsia="仿宋_GB2312" w:cs="仿宋_GB2312"/>
          <w:color w:val="auto"/>
          <w:kern w:val="0"/>
          <w:sz w:val="36"/>
          <w:szCs w:val="36"/>
          <w:lang w:val="zh-TW" w:eastAsia="zh-TW"/>
        </w:rPr>
        <w:t>日</w:t>
      </w:r>
    </w:p>
    <w:p>
      <w:pPr>
        <w:pStyle w:val="48"/>
        <w:spacing w:line="700" w:lineRule="exact"/>
        <w:ind w:firstLine="624" w:firstLineChars="200"/>
        <w:jc w:val="left"/>
        <w:rPr>
          <w:rStyle w:val="19"/>
          <w:rFonts w:ascii="黑体" w:hAnsi="黑体" w:eastAsia="黑体"/>
          <w:b w:val="0"/>
          <w:color w:val="auto"/>
          <w:spacing w:val="-4"/>
          <w:sz w:val="32"/>
          <w:szCs w:val="32"/>
        </w:rPr>
      </w:pPr>
      <w:r>
        <w:rPr>
          <w:rStyle w:val="19"/>
          <w:rFonts w:hint="eastAsia" w:ascii="黑体" w:hAnsi="黑体" w:eastAsia="黑体"/>
          <w:b w:val="0"/>
          <w:color w:val="auto"/>
          <w:spacing w:val="-4"/>
          <w:sz w:val="32"/>
          <w:szCs w:val="32"/>
        </w:rPr>
        <w:t>一、项目概况</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spacing w:line="500" w:lineRule="exact"/>
        <w:ind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泽普县农村饮水安全工程管理站为泽普县水利局下属的（二级单位）经费自理事业单位。下辖十个乡镇供水站，共有员工93名，批复编制人员198人。</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Fonts w:ascii="仿宋" w:hAnsi="仿宋" w:eastAsia="仿宋"/>
          <w:bCs/>
          <w:spacing w:val="-4"/>
          <w:sz w:val="32"/>
          <w:szCs w:val="32"/>
        </w:rPr>
      </w:pPr>
      <w:bookmarkStart w:id="0" w:name="_Toc405279309"/>
      <w:r>
        <w:rPr>
          <w:rFonts w:hint="eastAsia" w:ascii="仿宋" w:hAnsi="仿宋" w:eastAsia="仿宋"/>
          <w:bCs/>
          <w:spacing w:val="-4"/>
          <w:sz w:val="32"/>
          <w:szCs w:val="32"/>
        </w:rPr>
        <w:t>年度减少电费支出60万元，占比</w:t>
      </w:r>
      <w:r>
        <w:rPr>
          <w:rFonts w:hint="eastAsia" w:ascii="仿宋" w:hAnsi="仿宋" w:eastAsia="仿宋"/>
          <w:bCs/>
          <w:spacing w:val="-4"/>
          <w:sz w:val="32"/>
          <w:szCs w:val="32"/>
          <w:lang w:eastAsia="zh-CN"/>
        </w:rPr>
        <w:t>全年电费支出</w:t>
      </w:r>
      <w:r>
        <w:rPr>
          <w:rFonts w:hint="eastAsia" w:ascii="仿宋" w:hAnsi="仿宋" w:eastAsia="仿宋"/>
          <w:bCs/>
          <w:spacing w:val="-4"/>
          <w:sz w:val="32"/>
          <w:szCs w:val="32"/>
          <w:lang w:val="en-US" w:eastAsia="zh-CN"/>
        </w:rPr>
        <w:t>66.8</w:t>
      </w:r>
      <w:r>
        <w:rPr>
          <w:rFonts w:hint="eastAsia" w:ascii="仿宋" w:hAnsi="仿宋" w:eastAsia="仿宋"/>
          <w:bCs/>
          <w:spacing w:val="-4"/>
          <w:sz w:val="32"/>
          <w:szCs w:val="32"/>
        </w:rPr>
        <w:t>%</w:t>
      </w:r>
      <w:r>
        <w:rPr>
          <w:rFonts w:ascii="仿宋" w:hAnsi="仿宋" w:eastAsia="仿宋"/>
          <w:bCs/>
          <w:spacing w:val="-4"/>
          <w:sz w:val="32"/>
          <w:szCs w:val="32"/>
        </w:rPr>
        <w:t>。</w:t>
      </w:r>
      <w:bookmarkEnd w:id="0"/>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本项目性质为延续项目。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偏远贫困地区农村水厂电费补助、范围包括泽普县供水总厂和亚斯墩水厂。</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Fonts w:ascii="楷体" w:hAnsi="楷体" w:eastAsia="楷体"/>
          <w:b/>
          <w:bCs/>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560" w:lineRule="exact"/>
        <w:ind w:firstLine="640" w:firstLineChars="200"/>
        <w:rPr>
          <w:rFonts w:ascii="仿宋" w:hAnsi="仿宋" w:eastAsia="仿宋"/>
          <w:bCs/>
          <w:spacing w:val="-4"/>
          <w:sz w:val="32"/>
          <w:szCs w:val="32"/>
        </w:rPr>
      </w:pPr>
      <w:r>
        <w:rPr>
          <w:rFonts w:hint="eastAsia" w:ascii="仿宋" w:hAnsi="仿宋" w:eastAsia="仿宋"/>
          <w:sz w:val="32"/>
          <w:szCs w:val="32"/>
        </w:rPr>
        <w:t>201</w:t>
      </w:r>
      <w:r>
        <w:rPr>
          <w:rFonts w:hint="eastAsia" w:ascii="仿宋" w:hAnsi="仿宋" w:eastAsia="仿宋"/>
          <w:sz w:val="32"/>
          <w:szCs w:val="32"/>
          <w:lang w:val="en-US" w:eastAsia="zh-CN"/>
        </w:rPr>
        <w:t>8</w:t>
      </w:r>
      <w:r>
        <w:rPr>
          <w:rFonts w:hint="eastAsia" w:ascii="仿宋" w:hAnsi="仿宋" w:eastAsia="仿宋"/>
          <w:sz w:val="32"/>
          <w:szCs w:val="32"/>
        </w:rPr>
        <w:t>年下达自治区偏远贫困地区农村水厂电费补助资金60万元。</w:t>
      </w:r>
      <w:r>
        <w:rPr>
          <w:rFonts w:hint="eastAsia" w:ascii="仿宋" w:hAnsi="仿宋" w:eastAsia="仿宋"/>
          <w:bCs/>
          <w:spacing w:val="-4"/>
          <w:sz w:val="32"/>
          <w:szCs w:val="32"/>
        </w:rPr>
        <w:t>201</w:t>
      </w:r>
      <w:r>
        <w:rPr>
          <w:rFonts w:hint="eastAsia" w:ascii="仿宋" w:hAnsi="仿宋" w:eastAsia="仿宋"/>
          <w:bCs/>
          <w:spacing w:val="-4"/>
          <w:sz w:val="32"/>
          <w:szCs w:val="32"/>
          <w:lang w:val="en-US" w:eastAsia="zh-CN"/>
        </w:rPr>
        <w:t>8</w:t>
      </w:r>
      <w:r>
        <w:rPr>
          <w:rFonts w:hint="eastAsia" w:ascii="仿宋" w:hAnsi="仿宋" w:eastAsia="仿宋"/>
          <w:bCs/>
          <w:spacing w:val="-4"/>
          <w:sz w:val="32"/>
          <w:szCs w:val="32"/>
        </w:rPr>
        <w:t>年实际收到预算资金60万元。资金来源：财政资金。</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本项目实际支付资金60万元，预算执行率100</w:t>
      </w:r>
      <w:r>
        <w:rPr>
          <w:rFonts w:ascii="仿宋" w:hAnsi="仿宋" w:eastAsia="仿宋"/>
          <w:bCs/>
          <w:spacing w:val="-4"/>
          <w:sz w:val="32"/>
          <w:szCs w:val="32"/>
        </w:rPr>
        <w:t>%</w:t>
      </w:r>
      <w:r>
        <w:rPr>
          <w:rFonts w:hint="eastAsia" w:ascii="仿宋" w:hAnsi="仿宋" w:eastAsia="仿宋"/>
          <w:bCs/>
          <w:spacing w:val="-4"/>
          <w:sz w:val="32"/>
          <w:szCs w:val="32"/>
        </w:rPr>
        <w:t>（预算执行率=</w:t>
      </w:r>
      <w:r>
        <w:rPr>
          <w:rFonts w:ascii="仿宋" w:hAnsi="仿宋" w:eastAsia="仿宋"/>
          <w:bCs/>
          <w:spacing w:val="-4"/>
          <w:sz w:val="32"/>
          <w:szCs w:val="32"/>
        </w:rPr>
        <w:t>[</w:t>
      </w:r>
      <w:r>
        <w:rPr>
          <w:rFonts w:hint="eastAsia" w:ascii="仿宋" w:hAnsi="仿宋" w:eastAsia="仿宋"/>
          <w:bCs/>
          <w:spacing w:val="-4"/>
          <w:sz w:val="32"/>
          <w:szCs w:val="32"/>
        </w:rPr>
        <w:t>实际支出资金/预算批复金额]*100%。</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为了确保泽普县农村饮水安全工程管理站项目资金的安全有效使用和运行，提高资金的使用效率，保障本单位财务管理的合法合规，根据《会计法》、《行政事业单位内部控制规范（试行）》、《事业单位会计制度》的有关规定，结合本单位实际，成立了财务领导小组，建立了内部财务控制管理制度。管好用好项目专项资金，本着专款专用、专项管理的原则，实行“一支笔”财务制度，严格按照制度办事，杜绝了专项资金非法挪用和违规支付等情况发生。严格按照项目资金管理办法对资金进行计划申请、划拨、使用，及时、规范对收支进行账务处理和会计核算。本单位不存在截留、挤占、挪用、虚列支出等情况；</w:t>
      </w:r>
    </w:p>
    <w:p>
      <w:pPr>
        <w:pStyle w:val="49"/>
        <w:spacing w:line="500" w:lineRule="exact"/>
        <w:ind w:firstLine="600" w:firstLineChars="200"/>
        <w:rPr>
          <w:rFonts w:ascii="仿宋_GB2312" w:hAnsi="仿宋_GB2312" w:eastAsia="仿宋_GB2312" w:cs="仿宋_GB2312"/>
          <w:bCs/>
          <w:kern w:val="2"/>
          <w:sz w:val="30"/>
          <w:szCs w:val="30"/>
          <w:lang w:val="zh-CN"/>
        </w:rPr>
      </w:pP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该项目属于电费补助项目,不需要招投标,由本单位按照资金使用要求进行支付。实施过程均按照本单位制定的管理制度执行。</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本项目不存在调整情况。</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本项目不存在检查验收程序。</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严格按照项目资金管理办法对资金进行计划申请、划拨、使用，及时、规范对收支进行账务处理和会计核算。本单位不存在截留、挤占、挪用、虚列支出等情况；</w:t>
      </w:r>
    </w:p>
    <w:p>
      <w:pPr>
        <w:adjustRightInd w:val="0"/>
        <w:snapToGrid w:val="0"/>
        <w:spacing w:line="560" w:lineRule="exact"/>
        <w:ind w:firstLine="624" w:firstLineChars="200"/>
        <w:outlineLvl w:val="0"/>
        <w:rPr>
          <w:rFonts w:ascii="仿宋" w:hAnsi="仿宋" w:eastAsia="仿宋"/>
          <w:b/>
          <w:bCs/>
          <w:spacing w:val="-4"/>
          <w:sz w:val="32"/>
          <w:szCs w:val="32"/>
        </w:rPr>
      </w:pPr>
      <w:r>
        <w:rPr>
          <w:rStyle w:val="19"/>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rPr>
        <w:t>7</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7</w:t>
      </w:r>
      <w:r>
        <w:rPr>
          <w:rFonts w:ascii="仿宋" w:hAnsi="仿宋" w:eastAsia="仿宋"/>
          <w:bCs/>
          <w:spacing w:val="-4"/>
          <w:sz w:val="32"/>
          <w:szCs w:val="32"/>
        </w:rPr>
        <w:t>个</w:t>
      </w:r>
      <w:r>
        <w:rPr>
          <w:rFonts w:hint="eastAsia" w:ascii="仿宋" w:hAnsi="仿宋" w:eastAsia="仿宋"/>
          <w:bCs/>
          <w:spacing w:val="-4"/>
          <w:sz w:val="32"/>
          <w:szCs w:val="32"/>
        </w:rPr>
        <w:t>，其中</w:t>
      </w:r>
      <w:r>
        <w:rPr>
          <w:rFonts w:ascii="仿宋" w:hAnsi="仿宋" w:eastAsia="仿宋"/>
          <w:bCs/>
          <w:spacing w:val="-4"/>
          <w:sz w:val="32"/>
          <w:szCs w:val="32"/>
        </w:rPr>
        <w:t>已完成三级指标</w:t>
      </w:r>
      <w:r>
        <w:rPr>
          <w:rFonts w:hint="eastAsia" w:ascii="仿宋" w:hAnsi="仿宋" w:eastAsia="仿宋"/>
          <w:bCs/>
          <w:spacing w:val="-4"/>
          <w:sz w:val="32"/>
          <w:szCs w:val="32"/>
        </w:rPr>
        <w:t>7</w:t>
      </w:r>
      <w:r>
        <w:rPr>
          <w:rFonts w:ascii="仿宋" w:hAnsi="仿宋" w:eastAsia="仿宋"/>
          <w:bCs/>
          <w:spacing w:val="-4"/>
          <w:sz w:val="32"/>
          <w:szCs w:val="32"/>
        </w:rPr>
        <w:t>个</w:t>
      </w:r>
      <w:r>
        <w:rPr>
          <w:rFonts w:hint="eastAsia" w:ascii="仿宋" w:hAnsi="仿宋" w:eastAsia="仿宋"/>
          <w:bCs/>
          <w:spacing w:val="-4"/>
          <w:sz w:val="32"/>
          <w:szCs w:val="32"/>
        </w:rPr>
        <w:t>，指标完成率为100%。</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经济性：减少了制水成本，缓解经费压力。</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效率性：100%完成资金支出，并全部用于两个水厂电费支出。</w:t>
      </w:r>
    </w:p>
    <w:p>
      <w:pPr>
        <w:adjustRightInd w:val="0"/>
        <w:snapToGrid w:val="0"/>
        <w:spacing w:line="560" w:lineRule="exact"/>
        <w:ind w:firstLine="624" w:firstLineChars="200"/>
        <w:rPr>
          <w:rFonts w:ascii="仿宋" w:hAnsi="仿宋" w:eastAsia="仿宋"/>
          <w:bCs/>
          <w:spacing w:val="-4"/>
          <w:sz w:val="32"/>
          <w:szCs w:val="32"/>
        </w:rPr>
      </w:pPr>
      <w:r>
        <w:rPr>
          <w:rStyle w:val="19"/>
          <w:rFonts w:hint="eastAsia" w:ascii="仿宋" w:hAnsi="仿宋" w:eastAsia="仿宋"/>
          <w:b w:val="0"/>
          <w:spacing w:val="-4"/>
          <w:sz w:val="32"/>
          <w:szCs w:val="32"/>
        </w:rPr>
        <w:t>效益性：有效减少了制水成本。</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w:t>
      </w:r>
      <w:r>
        <w:rPr>
          <w:rFonts w:hint="eastAsia" w:ascii="仿宋" w:hAnsi="仿宋" w:eastAsia="仿宋"/>
          <w:spacing w:val="-4"/>
          <w:sz w:val="32"/>
          <w:szCs w:val="32"/>
          <w:lang w:val="en-US" w:eastAsia="zh-CN"/>
        </w:rPr>
        <w:t>8</w:t>
      </w:r>
      <w:r>
        <w:rPr>
          <w:rFonts w:hint="eastAsia" w:ascii="仿宋" w:hAnsi="仿宋" w:eastAsia="仿宋"/>
          <w:spacing w:val="-4"/>
          <w:sz w:val="32"/>
          <w:szCs w:val="32"/>
        </w:rPr>
        <w:t>年本项目绩效目标全部达成，不存在未完成原因分析。</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2018年补助资金拨付后，将更加严格要求，</w:t>
      </w:r>
      <w:r>
        <w:rPr>
          <w:rStyle w:val="19"/>
          <w:rFonts w:hint="eastAsia" w:ascii="仿宋" w:hAnsi="仿宋" w:eastAsia="仿宋"/>
          <w:b w:val="0"/>
          <w:spacing w:val="-4"/>
          <w:sz w:val="32"/>
          <w:szCs w:val="32"/>
        </w:rPr>
        <w:t>管好用好项目专项资金，本着专款专用、专项管理的原则，实行“一支笔”财务制度，严格按照制度办事，杜绝了专项资金非法挪用和违规支付等情况发生</w:t>
      </w:r>
      <w:r>
        <w:rPr>
          <w:rFonts w:ascii="仿宋" w:hAnsi="仿宋" w:eastAsia="仿宋"/>
          <w:bCs/>
          <w:spacing w:val="-4"/>
          <w:sz w:val="32"/>
          <w:szCs w:val="32"/>
        </w:rPr>
        <w:t>。</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1、主要经验及做法</w:t>
      </w:r>
    </w:p>
    <w:p>
      <w:pPr>
        <w:adjustRightInd w:val="0"/>
        <w:snapToGrid w:val="0"/>
        <w:spacing w:line="560" w:lineRule="exact"/>
        <w:ind w:firstLine="624" w:firstLineChars="200"/>
        <w:rPr>
          <w:rFonts w:ascii="仿宋" w:hAnsi="仿宋" w:eastAsia="仿宋"/>
          <w:bCs/>
          <w:spacing w:val="-4"/>
          <w:sz w:val="32"/>
          <w:szCs w:val="32"/>
        </w:rPr>
      </w:pPr>
      <w:r>
        <w:rPr>
          <w:rStyle w:val="19"/>
          <w:rFonts w:hint="eastAsia" w:ascii="仿宋" w:hAnsi="仿宋" w:eastAsia="仿宋"/>
          <w:b w:val="0"/>
          <w:spacing w:val="-4"/>
          <w:sz w:val="32"/>
          <w:szCs w:val="32"/>
        </w:rPr>
        <w:t>成立财务领导小组，建立内部财务控制管理制度。严格专款专用、专项管理的原则，实行“一支笔”财务制度，严格按照制度办事，杜绝专项资金非法挪用和违规支付等情况发生。严格按照项目资金管理办法对资金进行计划申请、划拨、使用，及时、规范对收支进行账务处理和会计核算。</w:t>
      </w:r>
    </w:p>
    <w:p>
      <w:pPr>
        <w:adjustRightInd w:val="0"/>
        <w:snapToGrid w:val="0"/>
        <w:spacing w:line="560" w:lineRule="exact"/>
        <w:ind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2、存在的问题</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无</w:t>
      </w:r>
    </w:p>
    <w:p>
      <w:pPr>
        <w:adjustRightInd w:val="0"/>
        <w:snapToGrid w:val="0"/>
        <w:spacing w:line="560" w:lineRule="exact"/>
        <w:ind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3、建议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无</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本次评价通过文件研读、数据分析等方式，全面了解201</w:t>
      </w:r>
      <w:r>
        <w:rPr>
          <w:rFonts w:hint="eastAsia" w:ascii="仿宋" w:hAnsi="仿宋" w:eastAsia="仿宋"/>
          <w:spacing w:val="-4"/>
          <w:sz w:val="32"/>
          <w:szCs w:val="32"/>
          <w:lang w:val="en-US" w:eastAsia="zh-CN"/>
        </w:rPr>
        <w:t>8</w:t>
      </w:r>
      <w:r>
        <w:rPr>
          <w:rFonts w:hint="eastAsia" w:ascii="仿宋" w:hAnsi="仿宋" w:eastAsia="仿宋"/>
          <w:spacing w:val="-4"/>
          <w:sz w:val="32"/>
          <w:szCs w:val="32"/>
        </w:rPr>
        <w:t>年自治区偏远贫困地区农村水厂电费补助资金项目资金的使用效率和效果，项目管理过程规范，完成了预期绩效目标等。同时，通过开展自我评价来总结经验和教训，为自治区偏远贫困地区农村水厂电费补助资金项目今后的开展提供参考建议。</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60" w:lineRule="exact"/>
        <w:ind w:firstLine="624" w:firstLineChars="200"/>
        <w:rPr>
          <w:rStyle w:val="19"/>
          <w:rFonts w:hint="eastAsia" w:ascii="仿宋" w:hAnsi="仿宋" w:eastAsia="仿宋"/>
          <w:b w:val="0"/>
          <w:spacing w:val="-4"/>
          <w:sz w:val="32"/>
          <w:szCs w:val="32"/>
        </w:rPr>
      </w:pPr>
      <w:r>
        <w:rPr>
          <w:rStyle w:val="19"/>
          <w:rFonts w:hint="eastAsia" w:ascii="仿宋" w:hAnsi="仿宋" w:eastAsia="仿宋"/>
          <w:b w:val="0"/>
          <w:spacing w:val="-4"/>
          <w:sz w:val="32"/>
          <w:szCs w:val="32"/>
        </w:rPr>
        <w:t>《自治区财政项目支出绩效自评表》</w:t>
      </w:r>
    </w:p>
    <w:p>
      <w:pPr>
        <w:adjustRightInd w:val="0"/>
        <w:snapToGrid w:val="0"/>
        <w:spacing w:line="560" w:lineRule="exact"/>
        <w:ind w:firstLine="624" w:firstLineChars="200"/>
        <w:rPr>
          <w:rStyle w:val="19"/>
          <w:rFonts w:hint="eastAsia" w:ascii="仿宋" w:hAnsi="仿宋" w:eastAsia="仿宋"/>
          <w:b w:val="0"/>
          <w:spacing w:val="-4"/>
          <w:sz w:val="32"/>
          <w:szCs w:val="32"/>
        </w:rPr>
      </w:pPr>
    </w:p>
    <w:p>
      <w:pPr>
        <w:adjustRightInd w:val="0"/>
        <w:snapToGrid w:val="0"/>
        <w:spacing w:line="560" w:lineRule="exact"/>
        <w:ind w:firstLine="624" w:firstLineChars="200"/>
        <w:rPr>
          <w:rStyle w:val="19"/>
          <w:rFonts w:hint="eastAsia" w:ascii="仿宋" w:hAnsi="仿宋" w:eastAsia="仿宋"/>
          <w:b w:val="0"/>
          <w:spacing w:val="-4"/>
          <w:sz w:val="32"/>
          <w:szCs w:val="32"/>
        </w:rPr>
      </w:pPr>
    </w:p>
    <w:p>
      <w:pPr>
        <w:adjustRightInd w:val="0"/>
        <w:snapToGrid w:val="0"/>
        <w:spacing w:line="560" w:lineRule="exact"/>
        <w:ind w:firstLine="624" w:firstLineChars="200"/>
        <w:rPr>
          <w:rStyle w:val="19"/>
          <w:rFonts w:hint="eastAsia" w:ascii="仿宋" w:hAnsi="仿宋" w:eastAsia="仿宋"/>
          <w:b w:val="0"/>
          <w:spacing w:val="-4"/>
          <w:sz w:val="32"/>
          <w:szCs w:val="32"/>
        </w:rPr>
      </w:pPr>
    </w:p>
    <w:p>
      <w:pPr>
        <w:adjustRightInd w:val="0"/>
        <w:snapToGrid w:val="0"/>
        <w:spacing w:line="560" w:lineRule="exact"/>
        <w:ind w:firstLine="624" w:firstLineChars="200"/>
        <w:rPr>
          <w:rStyle w:val="19"/>
          <w:rFonts w:hint="eastAsia" w:ascii="仿宋" w:hAnsi="仿宋" w:eastAsia="仿宋"/>
          <w:b w:val="0"/>
          <w:spacing w:val="-4"/>
          <w:sz w:val="32"/>
          <w:szCs w:val="32"/>
        </w:rPr>
      </w:pPr>
    </w:p>
    <w:p>
      <w:pPr>
        <w:adjustRightInd w:val="0"/>
        <w:snapToGrid w:val="0"/>
        <w:spacing w:line="560" w:lineRule="exact"/>
        <w:ind w:firstLine="624" w:firstLineChars="200"/>
        <w:rPr>
          <w:rStyle w:val="19"/>
          <w:rFonts w:hint="eastAsia" w:ascii="仿宋" w:hAnsi="仿宋" w:eastAsia="仿宋"/>
          <w:b w:val="0"/>
          <w:spacing w:val="-4"/>
          <w:sz w:val="32"/>
          <w:szCs w:val="32"/>
        </w:rPr>
      </w:pPr>
    </w:p>
    <w:p>
      <w:pPr>
        <w:adjustRightInd w:val="0"/>
        <w:snapToGrid w:val="0"/>
        <w:spacing w:line="560" w:lineRule="exact"/>
        <w:ind w:firstLine="624" w:firstLineChars="200"/>
        <w:rPr>
          <w:rStyle w:val="19"/>
          <w:rFonts w:hint="eastAsia" w:ascii="仿宋" w:hAnsi="仿宋" w:eastAsia="仿宋"/>
          <w:b w:val="0"/>
          <w:spacing w:val="-4"/>
          <w:sz w:val="32"/>
          <w:szCs w:val="32"/>
        </w:rPr>
      </w:pPr>
    </w:p>
    <w:p>
      <w:pPr>
        <w:adjustRightInd w:val="0"/>
        <w:snapToGrid w:val="0"/>
        <w:spacing w:line="560" w:lineRule="exact"/>
        <w:ind w:firstLine="624" w:firstLineChars="200"/>
        <w:rPr>
          <w:rStyle w:val="19"/>
          <w:rFonts w:hint="eastAsia" w:ascii="仿宋" w:hAnsi="仿宋" w:eastAsia="仿宋"/>
          <w:b w:val="0"/>
          <w:spacing w:val="-4"/>
          <w:sz w:val="32"/>
          <w:szCs w:val="32"/>
        </w:rPr>
      </w:pPr>
    </w:p>
    <w:p>
      <w:pPr>
        <w:adjustRightInd w:val="0"/>
        <w:snapToGrid w:val="0"/>
        <w:spacing w:line="560" w:lineRule="exact"/>
        <w:ind w:firstLine="624" w:firstLineChars="200"/>
        <w:rPr>
          <w:rStyle w:val="19"/>
          <w:rFonts w:hint="eastAsia" w:ascii="仿宋" w:hAnsi="仿宋" w:eastAsia="仿宋"/>
          <w:b w:val="0"/>
          <w:spacing w:val="-4"/>
          <w:sz w:val="32"/>
          <w:szCs w:val="32"/>
        </w:rPr>
      </w:pPr>
    </w:p>
    <w:p>
      <w:pPr>
        <w:adjustRightInd w:val="0"/>
        <w:snapToGrid w:val="0"/>
        <w:spacing w:line="560" w:lineRule="exact"/>
        <w:ind w:firstLine="624" w:firstLineChars="200"/>
        <w:rPr>
          <w:rStyle w:val="19"/>
          <w:rFonts w:hint="eastAsia" w:ascii="仿宋" w:hAnsi="仿宋" w:eastAsia="仿宋"/>
          <w:b w:val="0"/>
          <w:spacing w:val="-4"/>
          <w:sz w:val="32"/>
          <w:szCs w:val="32"/>
        </w:rPr>
      </w:pPr>
    </w:p>
    <w:p>
      <w:pPr>
        <w:adjustRightInd w:val="0"/>
        <w:snapToGrid w:val="0"/>
        <w:spacing w:line="560" w:lineRule="exact"/>
        <w:ind w:firstLine="624" w:firstLineChars="200"/>
        <w:rPr>
          <w:rStyle w:val="19"/>
          <w:rFonts w:hint="eastAsia" w:ascii="仿宋" w:hAnsi="仿宋" w:eastAsia="仿宋"/>
          <w:b w:val="0"/>
          <w:spacing w:val="-4"/>
          <w:sz w:val="32"/>
          <w:szCs w:val="32"/>
        </w:rPr>
      </w:pPr>
    </w:p>
    <w:p>
      <w:pPr>
        <w:adjustRightInd w:val="0"/>
        <w:snapToGrid w:val="0"/>
        <w:spacing w:line="560" w:lineRule="exact"/>
        <w:ind w:firstLine="624" w:firstLineChars="200"/>
        <w:rPr>
          <w:rStyle w:val="19"/>
          <w:rFonts w:hint="eastAsia" w:ascii="仿宋" w:hAnsi="仿宋" w:eastAsia="仿宋"/>
          <w:b w:val="0"/>
          <w:spacing w:val="-4"/>
          <w:sz w:val="32"/>
          <w:szCs w:val="32"/>
        </w:rPr>
      </w:pPr>
    </w:p>
    <w:p>
      <w:pPr>
        <w:adjustRightInd w:val="0"/>
        <w:snapToGrid w:val="0"/>
        <w:spacing w:line="560" w:lineRule="exact"/>
        <w:ind w:firstLine="624" w:firstLineChars="200"/>
        <w:rPr>
          <w:rStyle w:val="19"/>
          <w:rFonts w:hint="eastAsia" w:ascii="仿宋" w:hAnsi="仿宋" w:eastAsia="仿宋"/>
          <w:b w:val="0"/>
          <w:spacing w:val="-4"/>
          <w:sz w:val="32"/>
          <w:szCs w:val="32"/>
        </w:rPr>
      </w:pPr>
    </w:p>
    <w:p>
      <w:pPr>
        <w:adjustRightInd w:val="0"/>
        <w:snapToGrid w:val="0"/>
        <w:spacing w:line="560" w:lineRule="exact"/>
        <w:ind w:firstLine="624" w:firstLineChars="200"/>
        <w:rPr>
          <w:rStyle w:val="19"/>
          <w:rFonts w:hint="eastAsia" w:ascii="仿宋" w:hAnsi="仿宋" w:eastAsia="仿宋"/>
          <w:b w:val="0"/>
          <w:spacing w:val="-4"/>
          <w:sz w:val="32"/>
          <w:szCs w:val="32"/>
        </w:rPr>
      </w:pPr>
    </w:p>
    <w:p>
      <w:pPr>
        <w:adjustRightInd w:val="0"/>
        <w:snapToGrid w:val="0"/>
        <w:spacing w:line="560" w:lineRule="exact"/>
        <w:ind w:firstLine="624" w:firstLineChars="200"/>
        <w:rPr>
          <w:rStyle w:val="19"/>
          <w:rFonts w:hint="eastAsia" w:ascii="仿宋" w:hAnsi="仿宋" w:eastAsia="仿宋"/>
          <w:b w:val="0"/>
          <w:spacing w:val="-4"/>
          <w:sz w:val="32"/>
          <w:szCs w:val="32"/>
        </w:rPr>
      </w:pPr>
    </w:p>
    <w:tbl>
      <w:tblPr>
        <w:tblStyle w:val="17"/>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自治区财政项目支出绩效自评表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rFonts w:hint="eastAsia"/>
                <w:kern w:val="0"/>
                <w:sz w:val="24"/>
                <w:lang w:val="en-US" w:eastAsia="zh-CN"/>
              </w:rPr>
              <w:t>2018</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lang w:val="en-US" w:eastAsia="zh-CN"/>
              </w:rPr>
              <w:t>2018年自治区偏远贫困地区农村水厂电费补助资金</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lang w:val="en-US" w:eastAsia="zh-CN"/>
              </w:rPr>
              <w:t>泽普县农村饮水安全工程管理站</w:t>
            </w:r>
          </w:p>
        </w:tc>
      </w:tr>
      <w:tr>
        <w:tblPrEx>
          <w:tblLayout w:type="fixed"/>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60万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cs="宋体"/>
                <w:kern w:val="0"/>
                <w:sz w:val="20"/>
                <w:szCs w:val="20"/>
                <w:lang w:val="en-US" w:eastAsia="zh-CN"/>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60万</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60万</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60万</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60万</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60万</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cs="宋体"/>
                <w:kern w:val="0"/>
                <w:sz w:val="20"/>
                <w:szCs w:val="20"/>
                <w:lang w:val="en-US" w:eastAsia="zh-CN"/>
              </w:rPr>
            </w:pPr>
            <w:r>
              <w:rPr>
                <w:rFonts w:hint="eastAsia" w:ascii="宋体" w:hAnsi="宋体" w:cs="宋体"/>
                <w:kern w:val="0"/>
                <w:sz w:val="20"/>
                <w:szCs w:val="20"/>
                <w:lang w:val="en-US" w:eastAsia="zh-CN"/>
              </w:rPr>
              <w:t>有效降低水厂运行成本。</w:t>
            </w:r>
          </w:p>
        </w:tc>
        <w:tc>
          <w:tcPr>
            <w:tcW w:w="38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cs="宋体"/>
                <w:kern w:val="0"/>
                <w:sz w:val="20"/>
                <w:szCs w:val="20"/>
                <w:lang w:val="en-US" w:eastAsia="zh-CN"/>
              </w:rPr>
            </w:pPr>
            <w:r>
              <w:rPr>
                <w:rFonts w:hint="eastAsia" w:ascii="宋体" w:hAnsi="宋体" w:cs="宋体"/>
                <w:kern w:val="0"/>
                <w:sz w:val="20"/>
                <w:szCs w:val="20"/>
                <w:lang w:val="en-US" w:eastAsia="zh-CN"/>
              </w:rPr>
              <w:t>有效降低水厂运行成本60万。</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解决电费水厂处数</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≥2处</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2处</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解决电费及时率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电费低于当地平均标准的比例</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jc w:val="left"/>
              <w:rPr>
                <w:rFonts w:hint="eastAsia" w:ascii="宋体" w:hAnsi="宋体" w:eastAsia="宋体" w:cs="宋体"/>
                <w:kern w:val="0"/>
                <w:sz w:val="20"/>
                <w:szCs w:val="20"/>
                <w:lang w:val="en-US" w:eastAsia="zh-CN" w:bidi="ar-SA"/>
              </w:rPr>
            </w:pPr>
          </w:p>
        </w:tc>
        <w:tc>
          <w:tcPr>
            <w:tcW w:w="2060" w:type="dxa"/>
            <w:tcBorders>
              <w:top w:val="nil"/>
              <w:left w:val="nil"/>
              <w:bottom w:val="single" w:color="auto" w:sz="4" w:space="0"/>
              <w:right w:val="single" w:color="auto" w:sz="4" w:space="0"/>
            </w:tcBorders>
            <w:shd w:val="clear" w:color="auto" w:fill="auto"/>
            <w:vAlign w:val="center"/>
          </w:tcPr>
          <w:p>
            <w:pPr>
              <w:rPr>
                <w:rFonts w:hint="eastAsia" w:ascii="宋体" w:hAnsi="宋体" w:eastAsia="宋体" w:cs="宋体"/>
                <w:kern w:val="0"/>
                <w:sz w:val="20"/>
                <w:szCs w:val="20"/>
                <w:lang w:val="en-US" w:eastAsia="zh-CN" w:bidi="ar-SA"/>
              </w:rPr>
            </w:pPr>
          </w:p>
        </w:tc>
        <w:tc>
          <w:tcPr>
            <w:tcW w:w="1780" w:type="dxa"/>
            <w:tcBorders>
              <w:top w:val="nil"/>
              <w:left w:val="nil"/>
              <w:bottom w:val="single" w:color="auto" w:sz="4" w:space="0"/>
              <w:right w:val="single" w:color="auto" w:sz="4" w:space="0"/>
            </w:tcBorders>
            <w:shd w:val="clear" w:color="auto" w:fill="auto"/>
            <w:vAlign w:val="center"/>
          </w:tcPr>
          <w:p>
            <w:pPr>
              <w:jc w:val="center"/>
              <w:rPr>
                <w:rFonts w:hint="eastAsia" w:ascii="宋体" w:hAnsi="宋体" w:eastAsia="宋体" w:cs="宋体"/>
                <w:kern w:val="0"/>
                <w:sz w:val="20"/>
                <w:szCs w:val="20"/>
                <w:lang w:val="en-US" w:eastAsia="zh-CN" w:bidi="ar-SA"/>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有效减少运行投入费用</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60万</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60万</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有效减少运行成本，降低水价</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≥5%</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7%</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bookmarkStart w:id="1" w:name="_GoBack"/>
            <w:bookmarkEnd w:id="1"/>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cs="宋体"/>
                <w:kern w:val="0"/>
                <w:sz w:val="20"/>
                <w:szCs w:val="20"/>
                <w:lang w:val="en-US" w:eastAsia="zh-CN" w:bidi="ar-SA"/>
              </w:rPr>
              <w:t>电费补助时间</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1年</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1年</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bidi="ar-SA"/>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jc w:val="left"/>
              <w:rPr>
                <w:rFonts w:hint="eastAsia" w:ascii="宋体" w:hAnsi="宋体" w:eastAsia="宋体" w:cs="宋体"/>
                <w:kern w:val="0"/>
                <w:sz w:val="20"/>
                <w:szCs w:val="20"/>
                <w:lang w:val="en-US" w:eastAsia="zh-CN" w:bidi="ar-SA"/>
              </w:rPr>
            </w:pPr>
          </w:p>
        </w:tc>
        <w:tc>
          <w:tcPr>
            <w:tcW w:w="2060" w:type="dxa"/>
            <w:tcBorders>
              <w:top w:val="nil"/>
              <w:left w:val="nil"/>
              <w:bottom w:val="single" w:color="auto" w:sz="4" w:space="0"/>
              <w:right w:val="single" w:color="auto" w:sz="4" w:space="0"/>
            </w:tcBorders>
            <w:shd w:val="clear" w:color="auto" w:fill="auto"/>
            <w:vAlign w:val="center"/>
          </w:tcPr>
          <w:p>
            <w:pPr>
              <w:jc w:val="center"/>
              <w:rPr>
                <w:rFonts w:hint="eastAsia" w:ascii="宋体" w:hAnsi="宋体" w:eastAsia="宋体" w:cs="宋体"/>
                <w:kern w:val="0"/>
                <w:sz w:val="20"/>
                <w:szCs w:val="20"/>
                <w:lang w:val="en-US" w:eastAsia="zh-CN" w:bidi="ar-SA"/>
              </w:rPr>
            </w:pPr>
          </w:p>
        </w:tc>
        <w:tc>
          <w:tcPr>
            <w:tcW w:w="1780" w:type="dxa"/>
            <w:tcBorders>
              <w:top w:val="nil"/>
              <w:left w:val="nil"/>
              <w:bottom w:val="single" w:color="auto" w:sz="4" w:space="0"/>
              <w:right w:val="single" w:color="auto" w:sz="4" w:space="0"/>
            </w:tcBorders>
            <w:shd w:val="clear" w:color="auto" w:fill="auto"/>
            <w:vAlign w:val="center"/>
          </w:tcPr>
          <w:p>
            <w:pPr>
              <w:jc w:val="center"/>
              <w:rPr>
                <w:rFonts w:hint="eastAsia" w:ascii="宋体" w:hAnsi="宋体" w:eastAsia="宋体" w:cs="宋体"/>
                <w:kern w:val="0"/>
                <w:sz w:val="20"/>
                <w:szCs w:val="20"/>
                <w:lang w:val="en-US" w:eastAsia="zh-CN" w:bidi="ar-SA"/>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lang w:val="en-US" w:eastAsia="zh-CN"/>
              </w:rPr>
              <w:t>受益人口满意度</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lang w:val="en-US" w:eastAsia="zh-CN"/>
              </w:rPr>
              <w:t>≥98%</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lang w:val="en-US" w:eastAsia="zh-CN"/>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lang w:val="en-US" w:eastAsia="zh-CN"/>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rPr>
          <w:rStyle w:val="19"/>
          <w:rFonts w:hint="eastAsia" w:asciiTheme="minorEastAsia" w:hAnsiTheme="minorEastAsia" w:eastAsiaTheme="minorEastAsia"/>
          <w:b w:val="0"/>
          <w:spacing w:val="-4"/>
          <w:sz w:val="20"/>
          <w:szCs w:val="32"/>
        </w:rPr>
      </w:pPr>
      <w:r>
        <w:rPr>
          <w:rStyle w:val="19"/>
          <w:rFonts w:hint="eastAsia" w:asciiTheme="minorEastAsia" w:hAnsiTheme="minorEastAsia" w:eastAsiaTheme="minorEastAsia"/>
          <w:b w:val="0"/>
          <w:spacing w:val="-4"/>
          <w:sz w:val="20"/>
          <w:szCs w:val="32"/>
        </w:rPr>
        <w:t>经办人：</w:t>
      </w:r>
      <w:r>
        <w:rPr>
          <w:rStyle w:val="19"/>
          <w:rFonts w:hint="eastAsia" w:asciiTheme="minorEastAsia" w:hAnsiTheme="minorEastAsia" w:eastAsiaTheme="minorEastAsia"/>
          <w:b w:val="0"/>
          <w:spacing w:val="-4"/>
          <w:sz w:val="20"/>
          <w:szCs w:val="32"/>
          <w:lang w:eastAsia="zh-CN"/>
        </w:rPr>
        <w:t>阿地力江</w:t>
      </w:r>
      <w:r>
        <w:rPr>
          <w:rStyle w:val="19"/>
          <w:rFonts w:hint="eastAsia" w:asciiTheme="minorEastAsia" w:hAnsiTheme="minorEastAsia" w:eastAsiaTheme="minorEastAsia"/>
          <w:b w:val="0"/>
          <w:spacing w:val="-4"/>
          <w:sz w:val="20"/>
          <w:szCs w:val="32"/>
          <w:lang w:val="en-US" w:eastAsia="zh-CN"/>
        </w:rPr>
        <w:t xml:space="preserve">·努尔买提 </w:t>
      </w:r>
      <w:r>
        <w:rPr>
          <w:rStyle w:val="19"/>
          <w:rFonts w:hint="eastAsia" w:asciiTheme="minorEastAsia" w:hAnsiTheme="minorEastAsia" w:eastAsiaTheme="minorEastAsia"/>
          <w:b w:val="0"/>
          <w:spacing w:val="-4"/>
          <w:sz w:val="20"/>
          <w:szCs w:val="32"/>
        </w:rPr>
        <w:t xml:space="preserve"> 单位负责人：</w:t>
      </w:r>
      <w:r>
        <w:rPr>
          <w:rStyle w:val="19"/>
          <w:rFonts w:hint="eastAsia" w:asciiTheme="minorEastAsia" w:hAnsiTheme="minorEastAsia" w:eastAsiaTheme="minorEastAsia"/>
          <w:b w:val="0"/>
          <w:spacing w:val="-4"/>
          <w:sz w:val="20"/>
          <w:szCs w:val="32"/>
          <w:lang w:eastAsia="zh-CN"/>
        </w:rPr>
        <w:t>木塔力甫</w:t>
      </w:r>
      <w:r>
        <w:rPr>
          <w:rStyle w:val="19"/>
          <w:rFonts w:hint="eastAsia" w:asciiTheme="minorEastAsia" w:hAnsiTheme="minorEastAsia" w:eastAsiaTheme="minorEastAsia"/>
          <w:b w:val="0"/>
          <w:spacing w:val="-4"/>
          <w:sz w:val="20"/>
          <w:szCs w:val="32"/>
          <w:lang w:val="en-US" w:eastAsia="zh-CN"/>
        </w:rPr>
        <w:t>·托合提</w:t>
      </w:r>
      <w:r>
        <w:rPr>
          <w:rStyle w:val="19"/>
          <w:rFonts w:hint="eastAsia" w:asciiTheme="minorEastAsia" w:hAnsiTheme="minorEastAsia" w:eastAsiaTheme="minorEastAsia"/>
          <w:b w:val="0"/>
          <w:spacing w:val="-4"/>
          <w:sz w:val="20"/>
          <w:szCs w:val="32"/>
        </w:rPr>
        <w:t xml:space="preserve">    上报时间：</w:t>
      </w:r>
      <w:r>
        <w:rPr>
          <w:rStyle w:val="19"/>
          <w:rFonts w:hint="eastAsia" w:asciiTheme="minorEastAsia" w:hAnsiTheme="minorEastAsia" w:eastAsiaTheme="minorEastAsia"/>
          <w:b w:val="0"/>
          <w:spacing w:val="-4"/>
          <w:sz w:val="20"/>
          <w:szCs w:val="32"/>
          <w:lang w:val="en-US" w:eastAsia="zh-CN"/>
        </w:rPr>
        <w:t>2018</w:t>
      </w:r>
      <w:r>
        <w:rPr>
          <w:rStyle w:val="19"/>
          <w:rFonts w:hint="eastAsia" w:asciiTheme="minorEastAsia" w:hAnsiTheme="minorEastAsia" w:eastAsiaTheme="minorEastAsia"/>
          <w:b w:val="0"/>
          <w:spacing w:val="-4"/>
          <w:sz w:val="20"/>
          <w:szCs w:val="32"/>
        </w:rPr>
        <w:t xml:space="preserve"> 年</w:t>
      </w:r>
      <w:r>
        <w:rPr>
          <w:rStyle w:val="19"/>
          <w:rFonts w:hint="eastAsia" w:asciiTheme="minorEastAsia" w:hAnsiTheme="minorEastAsia" w:eastAsiaTheme="minorEastAsia"/>
          <w:b w:val="0"/>
          <w:spacing w:val="-4"/>
          <w:sz w:val="20"/>
          <w:szCs w:val="32"/>
          <w:lang w:val="en-US" w:eastAsia="zh-CN"/>
        </w:rPr>
        <w:t>12</w:t>
      </w:r>
      <w:r>
        <w:rPr>
          <w:rStyle w:val="19"/>
          <w:rFonts w:hint="eastAsia" w:asciiTheme="minorEastAsia" w:hAnsiTheme="minorEastAsia" w:eastAsiaTheme="minorEastAsia"/>
          <w:b w:val="0"/>
          <w:spacing w:val="-4"/>
          <w:sz w:val="20"/>
          <w:szCs w:val="32"/>
        </w:rPr>
        <w:t xml:space="preserve"> 月</w:t>
      </w:r>
      <w:r>
        <w:rPr>
          <w:rStyle w:val="19"/>
          <w:rFonts w:hint="eastAsia" w:asciiTheme="minorEastAsia" w:hAnsiTheme="minorEastAsia" w:eastAsiaTheme="minorEastAsia"/>
          <w:b w:val="0"/>
          <w:spacing w:val="-4"/>
          <w:sz w:val="20"/>
          <w:szCs w:val="32"/>
          <w:lang w:val="en-US" w:eastAsia="zh-CN"/>
        </w:rPr>
        <w:t>10</w:t>
      </w:r>
      <w:r>
        <w:rPr>
          <w:rStyle w:val="19"/>
          <w:rFonts w:hint="eastAsia" w:asciiTheme="minorEastAsia" w:hAnsiTheme="minorEastAsia" w:eastAsiaTheme="minorEastAsia"/>
          <w:b w:val="0"/>
          <w:spacing w:val="-4"/>
          <w:sz w:val="20"/>
          <w:szCs w:val="32"/>
        </w:rPr>
        <w:t xml:space="preserve">日            </w:t>
      </w:r>
    </w:p>
    <w:p>
      <w:pPr>
        <w:spacing w:line="540" w:lineRule="exact"/>
        <w:rPr>
          <w:rStyle w:val="19"/>
          <w:rFonts w:hint="eastAsia" w:asciiTheme="minorEastAsia" w:hAnsiTheme="minorEastAsia" w:eastAsiaTheme="minorEastAsia"/>
          <w:b w:val="0"/>
          <w:spacing w:val="-4"/>
          <w:sz w:val="20"/>
          <w:szCs w:val="32"/>
          <w:lang w:val="en-US" w:eastAsia="zh-CN"/>
        </w:rPr>
      </w:pPr>
      <w:r>
        <w:rPr>
          <w:rStyle w:val="19"/>
          <w:rFonts w:hint="eastAsia" w:asciiTheme="minorEastAsia" w:hAnsiTheme="minorEastAsia" w:eastAsiaTheme="minorEastAsia"/>
          <w:b w:val="0"/>
          <w:spacing w:val="-4"/>
          <w:sz w:val="20"/>
          <w:szCs w:val="32"/>
        </w:rPr>
        <w:t>联系方式：</w:t>
      </w:r>
      <w:r>
        <w:rPr>
          <w:rStyle w:val="19"/>
          <w:rFonts w:hint="eastAsia" w:asciiTheme="minorEastAsia" w:hAnsiTheme="minorEastAsia" w:eastAsiaTheme="minorEastAsia"/>
          <w:b w:val="0"/>
          <w:spacing w:val="-4"/>
          <w:sz w:val="20"/>
          <w:szCs w:val="32"/>
          <w:lang w:val="en-US" w:eastAsia="zh-CN"/>
        </w:rPr>
        <w:t>15999239873</w:t>
      </w:r>
      <w:r>
        <w:rPr>
          <w:rStyle w:val="19"/>
          <w:rFonts w:hint="eastAsia" w:asciiTheme="minorEastAsia" w:hAnsiTheme="minorEastAsia" w:eastAsiaTheme="minorEastAsia"/>
          <w:b w:val="0"/>
          <w:spacing w:val="-4"/>
          <w:sz w:val="20"/>
          <w:szCs w:val="32"/>
        </w:rPr>
        <w:t xml:space="preserve">      联系方式：</w:t>
      </w:r>
      <w:r>
        <w:rPr>
          <w:rStyle w:val="19"/>
          <w:rFonts w:hint="eastAsia" w:asciiTheme="minorEastAsia" w:hAnsiTheme="minorEastAsia" w:eastAsiaTheme="minorEastAsia"/>
          <w:b w:val="0"/>
          <w:spacing w:val="-4"/>
          <w:sz w:val="20"/>
          <w:szCs w:val="32"/>
          <w:lang w:val="en-US" w:eastAsia="zh-CN"/>
        </w:rPr>
        <w:t>13657548989</w:t>
      </w:r>
    </w:p>
    <w:p>
      <w:pPr>
        <w:adjustRightInd w:val="0"/>
        <w:snapToGrid w:val="0"/>
        <w:spacing w:line="560" w:lineRule="exact"/>
        <w:ind w:firstLine="624" w:firstLineChars="200"/>
        <w:rPr>
          <w:rStyle w:val="19"/>
          <w:rFonts w:hint="eastAsia" w:ascii="仿宋" w:hAnsi="仿宋" w:eastAsia="仿宋"/>
          <w:b w:val="0"/>
          <w:spacing w:val="-4"/>
          <w:sz w:val="32"/>
          <w:szCs w:val="32"/>
        </w:rPr>
      </w:pPr>
    </w:p>
    <w:p>
      <w:pPr>
        <w:adjustRightInd w:val="0"/>
        <w:snapToGrid w:val="0"/>
        <w:spacing w:line="560" w:lineRule="exact"/>
        <w:ind w:firstLine="627" w:firstLineChars="200"/>
        <w:rPr>
          <w:rStyle w:val="19"/>
          <w:rFonts w:ascii="仿宋" w:hAnsi="仿宋" w:eastAsia="仿宋"/>
          <w:spacing w:val="-4"/>
          <w:sz w:val="32"/>
          <w:szCs w:val="32"/>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Arial Unicode MS">
    <w:altName w:val="宋体"/>
    <w:panose1 w:val="020B0604020202020204"/>
    <w:charset w:val="86"/>
    <w:family w:val="swiss"/>
    <w:pitch w:val="default"/>
    <w:sig w:usb0="00000000" w:usb1="00000000" w:usb2="0000003F" w:usb3="00000000" w:csb0="003F01FF" w:csb1="00000000"/>
  </w:font>
  <w:font w:name="华文中宋">
    <w:altName w:val="宋体"/>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仿宋">
    <w:altName w:val="宋体"/>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12208E"/>
    <w:rsid w:val="00135256"/>
    <w:rsid w:val="001A4E1F"/>
    <w:rsid w:val="001A57B9"/>
    <w:rsid w:val="001C3847"/>
    <w:rsid w:val="001E7CB9"/>
    <w:rsid w:val="001F3031"/>
    <w:rsid w:val="00210A26"/>
    <w:rsid w:val="00291A95"/>
    <w:rsid w:val="002A2532"/>
    <w:rsid w:val="002A2D76"/>
    <w:rsid w:val="00365250"/>
    <w:rsid w:val="0036624C"/>
    <w:rsid w:val="00385849"/>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4647E"/>
    <w:rsid w:val="00855E3A"/>
    <w:rsid w:val="00922CB9"/>
    <w:rsid w:val="009350F7"/>
    <w:rsid w:val="009B526F"/>
    <w:rsid w:val="009C1AFD"/>
    <w:rsid w:val="00A0610D"/>
    <w:rsid w:val="00A26421"/>
    <w:rsid w:val="00A4293B"/>
    <w:rsid w:val="00A83BD5"/>
    <w:rsid w:val="00A977DF"/>
    <w:rsid w:val="00AE6A23"/>
    <w:rsid w:val="00B06CA5"/>
    <w:rsid w:val="00B41F61"/>
    <w:rsid w:val="00B55332"/>
    <w:rsid w:val="00B86E8C"/>
    <w:rsid w:val="00BE13C9"/>
    <w:rsid w:val="00BE1A00"/>
    <w:rsid w:val="00C22CF0"/>
    <w:rsid w:val="00C30F99"/>
    <w:rsid w:val="00C56C72"/>
    <w:rsid w:val="00CA6457"/>
    <w:rsid w:val="00CC6E4D"/>
    <w:rsid w:val="00D17F2E"/>
    <w:rsid w:val="00D46194"/>
    <w:rsid w:val="00D7016E"/>
    <w:rsid w:val="00DC2779"/>
    <w:rsid w:val="00E01293"/>
    <w:rsid w:val="00E027D1"/>
    <w:rsid w:val="00E769FE"/>
    <w:rsid w:val="00EA2CBE"/>
    <w:rsid w:val="00F32FEE"/>
    <w:rsid w:val="00F53E69"/>
    <w:rsid w:val="00F84AAB"/>
    <w:rsid w:val="01700942"/>
    <w:rsid w:val="0EE2789C"/>
    <w:rsid w:val="0F1E4D0E"/>
    <w:rsid w:val="0F604B14"/>
    <w:rsid w:val="17A15F51"/>
    <w:rsid w:val="28A445F6"/>
    <w:rsid w:val="351739A2"/>
    <w:rsid w:val="3713125F"/>
    <w:rsid w:val="374D41BA"/>
    <w:rsid w:val="39F207D3"/>
    <w:rsid w:val="54D52288"/>
    <w:rsid w:val="5ABD499F"/>
    <w:rsid w:val="5B775654"/>
    <w:rsid w:val="61ED4707"/>
    <w:rsid w:val="65270F56"/>
    <w:rsid w:val="6A002BCB"/>
    <w:rsid w:val="6BDC3DCB"/>
    <w:rsid w:val="7A7A1EA7"/>
    <w:rsid w:val="7AD860AB"/>
    <w:rsid w:val="7E907B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4"/>
    <w:qFormat/>
    <w:uiPriority w:val="99"/>
    <w:rPr>
      <w:rFonts w:ascii="Calibri" w:hAnsi="Calibri" w:eastAsia="宋体"/>
      <w:kern w:val="2"/>
      <w:sz w:val="18"/>
      <w:szCs w:val="18"/>
    </w:rPr>
  </w:style>
  <w:style w:type="character" w:customStyle="1" w:styleId="45">
    <w:name w:val="页脚 Char"/>
    <w:basedOn w:val="18"/>
    <w:link w:val="13"/>
    <w:qFormat/>
    <w:uiPriority w:val="99"/>
    <w:rPr>
      <w:rFonts w:ascii="Calibri" w:hAnsi="Calibri" w:eastAsia="宋体"/>
      <w:kern w:val="2"/>
      <w:sz w:val="18"/>
      <w:szCs w:val="18"/>
    </w:rPr>
  </w:style>
  <w:style w:type="character" w:customStyle="1" w:styleId="46">
    <w:name w:val="文档结构图 Char"/>
    <w:basedOn w:val="18"/>
    <w:link w:val="11"/>
    <w:semiHidden/>
    <w:qFormat/>
    <w:uiPriority w:val="99"/>
    <w:rPr>
      <w:rFonts w:ascii="宋体" w:hAnsi="Times New Roman" w:eastAsia="宋体"/>
      <w:kern w:val="2"/>
      <w:sz w:val="18"/>
      <w:szCs w:val="18"/>
    </w:rPr>
  </w:style>
  <w:style w:type="character" w:customStyle="1" w:styleId="47">
    <w:name w:val="批注框文本 Char"/>
    <w:basedOn w:val="18"/>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 w:type="paragraph" w:customStyle="1" w:styleId="49">
    <w:name w:val="p0"/>
    <w:basedOn w:val="1"/>
    <w:qFormat/>
    <w:uiPriority w:val="0"/>
    <w:pPr>
      <w:widowControl/>
      <w:spacing w:line="560" w:lineRule="atLeast"/>
      <w:ind w:firstLine="420"/>
    </w:pPr>
    <w:rPr>
      <w:rFonts w:ascii="Calibri" w:hAnsi="Calibri"/>
      <w:kern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42BEAA-CBD8-472D-86BD-001E554F913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270</Words>
  <Characters>1540</Characters>
  <Lines>12</Lines>
  <Paragraphs>3</Paragraphs>
  <TotalTime>6</TotalTime>
  <ScaleCrop>false</ScaleCrop>
  <LinksUpToDate>false</LinksUpToDate>
  <CharactersWithSpaces>1807</CharactersWithSpaces>
  <Application>WPS Office_11.1.0.8500_F1E327BC-269C-435d-A152-05C5408002CA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2019-01-14T15:50:00Z</dcterms:created>
  <dc:creator>赵 恺（预算处）</dc:creator>
  <cp:lastModifiedBy>Administrator</cp:lastModifiedBy>
  <cp:lastPrinted>2019-03-05T05:32:24Z</cp:lastPrinted>
  <dcterms:modified xsi:type="dcterms:W3CDTF">2019-03-05T05:32:31Z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2052-11.1.0.8500</vt:lpwstr>
  </property>
</Properties>
</file>