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46"/>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 xml:space="preserve"> 项目名称：</w:t>
      </w:r>
      <w:r>
        <w:rPr>
          <w:rFonts w:hint="eastAsia" w:ascii="仿宋_GB2312" w:hAnsi="仿宋_GB2312" w:eastAsia="仿宋_GB2312" w:cs="仿宋_GB2312"/>
          <w:kern w:val="0"/>
          <w:sz w:val="36"/>
          <w:szCs w:val="36"/>
          <w:lang w:val="zh-TW" w:eastAsia="zh-TW"/>
        </w:rPr>
        <w:t>201</w:t>
      </w:r>
      <w:r>
        <w:rPr>
          <w:rFonts w:hint="eastAsia" w:ascii="仿宋_GB2312" w:hAnsi="仿宋_GB2312" w:eastAsia="仿宋_GB2312" w:cs="仿宋_GB2312"/>
          <w:kern w:val="0"/>
          <w:sz w:val="36"/>
          <w:szCs w:val="36"/>
          <w:lang w:val="en-US" w:eastAsia="zh-CN"/>
        </w:rPr>
        <w:t>8</w:t>
      </w:r>
      <w:r>
        <w:rPr>
          <w:rFonts w:hint="eastAsia" w:ascii="仿宋_GB2312" w:hAnsi="仿宋_GB2312" w:eastAsia="仿宋_GB2312" w:cs="仿宋_GB2312"/>
          <w:kern w:val="0"/>
          <w:sz w:val="36"/>
          <w:szCs w:val="36"/>
          <w:lang w:val="zh-TW" w:eastAsia="zh-TW"/>
        </w:rPr>
        <w:t>年南疆三地州及国家贫困县水管单位公益人员基本支出经费项目</w:t>
      </w: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eastAsia="zh-CN"/>
        </w:rPr>
        <w:t>泽普县水管总站</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eastAsia="zh-CN"/>
        </w:rPr>
        <w:t>泽普县水利局</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胡朝飞</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01</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8"/>
          <w:rFonts w:ascii="楷体" w:hAnsi="楷体" w:eastAsia="楷体"/>
          <w:spacing w:val="-4"/>
          <w:sz w:val="32"/>
          <w:szCs w:val="32"/>
        </w:rPr>
      </w:pPr>
      <w:r>
        <w:rPr>
          <w:rFonts w:hint="eastAsia" w:ascii="仿宋" w:hAnsi="仿宋" w:eastAsia="仿宋"/>
          <w:bCs/>
          <w:color w:val="auto"/>
          <w:spacing w:val="-4"/>
          <w:sz w:val="32"/>
          <w:szCs w:val="32"/>
          <w:lang w:val="en-US" w:eastAsia="zh-CN"/>
        </w:rPr>
        <w:t>泽普县水管总站为水利局下属部门，自收自支事业单位，</w:t>
      </w:r>
      <w:r>
        <w:rPr>
          <w:rFonts w:hint="eastAsia" w:ascii="仿宋" w:hAnsi="仿宋" w:eastAsia="仿宋"/>
          <w:bCs/>
          <w:color w:val="auto"/>
          <w:spacing w:val="-4"/>
          <w:sz w:val="32"/>
          <w:szCs w:val="32"/>
          <w:lang w:eastAsia="zh-CN"/>
        </w:rPr>
        <w:t>设立1个水管总站，2个水管分站，14个乡镇水管所，201</w:t>
      </w:r>
      <w:r>
        <w:rPr>
          <w:rFonts w:hint="eastAsia" w:ascii="仿宋" w:hAnsi="仿宋" w:eastAsia="仿宋"/>
          <w:bCs/>
          <w:color w:val="auto"/>
          <w:spacing w:val="-4"/>
          <w:sz w:val="32"/>
          <w:szCs w:val="32"/>
          <w:lang w:val="en-US" w:eastAsia="zh-CN"/>
        </w:rPr>
        <w:t>7</w:t>
      </w:r>
      <w:r>
        <w:rPr>
          <w:rFonts w:hint="eastAsia" w:ascii="仿宋" w:hAnsi="仿宋" w:eastAsia="仿宋"/>
          <w:bCs/>
          <w:color w:val="auto"/>
          <w:spacing w:val="-4"/>
          <w:sz w:val="32"/>
          <w:szCs w:val="32"/>
          <w:lang w:eastAsia="zh-CN"/>
        </w:rPr>
        <w:t>年度实有在职人数</w:t>
      </w:r>
      <w:r>
        <w:rPr>
          <w:rFonts w:hint="eastAsia" w:ascii="仿宋" w:hAnsi="仿宋" w:eastAsia="仿宋"/>
          <w:bCs/>
          <w:color w:val="auto"/>
          <w:spacing w:val="-4"/>
          <w:sz w:val="32"/>
          <w:szCs w:val="32"/>
          <w:lang w:val="en-US" w:eastAsia="zh-CN"/>
        </w:rPr>
        <w:t>58</w:t>
      </w:r>
      <w:r>
        <w:rPr>
          <w:rFonts w:hint="eastAsia" w:ascii="仿宋" w:hAnsi="仿宋" w:eastAsia="仿宋"/>
          <w:bCs/>
          <w:color w:val="auto"/>
          <w:spacing w:val="-4"/>
          <w:sz w:val="32"/>
          <w:szCs w:val="32"/>
          <w:lang w:eastAsia="zh-CN"/>
        </w:rPr>
        <w:t>人，退休人数5</w:t>
      </w:r>
      <w:r>
        <w:rPr>
          <w:rFonts w:hint="eastAsia" w:ascii="仿宋" w:hAnsi="仿宋" w:eastAsia="仿宋"/>
          <w:bCs/>
          <w:color w:val="auto"/>
          <w:spacing w:val="-4"/>
          <w:sz w:val="32"/>
          <w:szCs w:val="32"/>
          <w:lang w:val="en-US" w:eastAsia="zh-CN"/>
        </w:rPr>
        <w:t>7</w:t>
      </w:r>
      <w:r>
        <w:rPr>
          <w:rFonts w:hint="eastAsia" w:ascii="仿宋" w:hAnsi="仿宋" w:eastAsia="仿宋"/>
          <w:bCs/>
          <w:color w:val="auto"/>
          <w:spacing w:val="-4"/>
          <w:sz w:val="32"/>
          <w:szCs w:val="32"/>
          <w:lang w:eastAsia="zh-CN"/>
        </w:rPr>
        <w:t>人。根据新疆维吾尔自治区人民政府办公厅《关于印发南疆三地州及国家贫困县水管单位公益部分人员基本支出经费方案的通知》（新政办发（2009）49号）文件精神要求的规定，泽普县水管单位批编人数82人，实际在岗人数</w:t>
      </w:r>
      <w:r>
        <w:rPr>
          <w:rFonts w:hint="eastAsia" w:ascii="仿宋" w:hAnsi="仿宋" w:eastAsia="仿宋"/>
          <w:bCs/>
          <w:color w:val="auto"/>
          <w:spacing w:val="-4"/>
          <w:sz w:val="32"/>
          <w:szCs w:val="32"/>
          <w:lang w:val="en-US" w:eastAsia="zh-CN"/>
        </w:rPr>
        <w:t>58人。</w:t>
      </w:r>
      <w:r>
        <w:rPr>
          <w:rFonts w:hint="eastAsia" w:ascii="仿宋" w:hAnsi="仿宋" w:eastAsia="仿宋"/>
          <w:bCs/>
          <w:color w:val="auto"/>
          <w:spacing w:val="-4"/>
          <w:sz w:val="32"/>
          <w:szCs w:val="32"/>
          <w:lang w:eastAsia="zh-CN"/>
        </w:rPr>
        <w:t>201</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lang w:eastAsia="zh-CN"/>
        </w:rPr>
        <w:t>年共支出部分水管单位公益人员基本经费</w:t>
      </w:r>
      <w:r>
        <w:rPr>
          <w:rFonts w:hint="eastAsia" w:ascii="仿宋" w:hAnsi="仿宋" w:eastAsia="仿宋"/>
          <w:bCs/>
          <w:color w:val="auto"/>
          <w:spacing w:val="-4"/>
          <w:sz w:val="32"/>
          <w:szCs w:val="32"/>
          <w:lang w:val="en-US" w:eastAsia="zh-CN"/>
        </w:rPr>
        <w:t>262.4</w:t>
      </w:r>
      <w:r>
        <w:rPr>
          <w:rFonts w:hint="eastAsia" w:ascii="仿宋" w:hAnsi="仿宋" w:eastAsia="仿宋"/>
          <w:bCs/>
          <w:color w:val="auto"/>
          <w:spacing w:val="-4"/>
          <w:sz w:val="32"/>
          <w:szCs w:val="32"/>
          <w:lang w:eastAsia="zh-CN"/>
        </w:rPr>
        <w:t>万元，其中工资</w:t>
      </w:r>
      <w:r>
        <w:rPr>
          <w:rFonts w:hint="eastAsia" w:ascii="仿宋" w:hAnsi="仿宋" w:eastAsia="仿宋"/>
          <w:bCs/>
          <w:color w:val="auto"/>
          <w:spacing w:val="-4"/>
          <w:sz w:val="32"/>
          <w:szCs w:val="32"/>
          <w:lang w:val="en-US" w:eastAsia="zh-CN"/>
        </w:rPr>
        <w:t>262.4</w:t>
      </w:r>
      <w:r>
        <w:rPr>
          <w:rFonts w:hint="eastAsia" w:ascii="仿宋" w:hAnsi="仿宋" w:eastAsia="仿宋"/>
          <w:bCs/>
          <w:color w:val="auto"/>
          <w:spacing w:val="-4"/>
          <w:sz w:val="32"/>
          <w:szCs w:val="32"/>
          <w:lang w:eastAsia="zh-CN"/>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560" w:lineRule="exact"/>
        <w:ind w:firstLine="624" w:firstLine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eastAsia="zh-CN"/>
        </w:rPr>
        <w:t>公益性人员编制数为</w:t>
      </w:r>
      <w:r>
        <w:rPr>
          <w:rFonts w:hint="eastAsia" w:ascii="仿宋" w:hAnsi="仿宋" w:eastAsia="仿宋"/>
          <w:bCs/>
          <w:color w:val="auto"/>
          <w:spacing w:val="-4"/>
          <w:sz w:val="32"/>
          <w:szCs w:val="32"/>
          <w:lang w:val="en-US" w:eastAsia="zh-CN"/>
        </w:rPr>
        <w:t>82人，实际在岗人数58人，全年工资及社保缴费实际支出1070.86万元。预期只能达到部分人员的工资发放和社保缴费262.4万元。完成项目资金100%。</w:t>
      </w:r>
      <w:r>
        <w:rPr>
          <w:rFonts w:hint="eastAsia" w:ascii="仿宋" w:hAnsi="仿宋" w:eastAsia="仿宋"/>
          <w:bCs/>
          <w:color w:val="auto"/>
          <w:spacing w:val="-4"/>
          <w:sz w:val="32"/>
          <w:szCs w:val="32"/>
        </w:rPr>
        <w:t>本项目性质为新增项目</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项目资金为水管单位公益部分人员基本支出的经费，用于水管单位公益性人员的工资的发放</w:t>
      </w:r>
      <w:r>
        <w:rPr>
          <w:rFonts w:hint="eastAsia" w:ascii="仿宋" w:hAnsi="仿宋" w:eastAsia="仿宋"/>
          <w:bCs/>
          <w:color w:val="auto"/>
          <w:spacing w:val="-4"/>
          <w:sz w:val="32"/>
          <w:szCs w:val="32"/>
          <w:lang w:eastAsia="zh-CN"/>
        </w:rPr>
        <w:t>，包括人员的基本工资和津贴补贴。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val="zh-TW" w:eastAsia="zh-TW"/>
        </w:rPr>
        <w:t>201</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lang w:val="zh-TW" w:eastAsia="zh-TW"/>
        </w:rPr>
        <w:t>年南疆三地州及国家贫困县水管单位公益人员基本支出经费</w:t>
      </w:r>
      <w:r>
        <w:rPr>
          <w:rFonts w:hint="eastAsia" w:ascii="仿宋" w:hAnsi="仿宋" w:eastAsia="仿宋"/>
          <w:bCs/>
          <w:color w:val="auto"/>
          <w:spacing w:val="-4"/>
          <w:sz w:val="32"/>
          <w:szCs w:val="32"/>
        </w:rPr>
        <w:t>项目预算安排总额为</w:t>
      </w:r>
      <w:r>
        <w:rPr>
          <w:rFonts w:hint="eastAsia" w:ascii="仿宋" w:hAnsi="仿宋" w:eastAsia="仿宋"/>
          <w:bCs/>
          <w:color w:val="auto"/>
          <w:spacing w:val="-4"/>
          <w:sz w:val="32"/>
          <w:szCs w:val="32"/>
          <w:lang w:val="en-US" w:eastAsia="zh-CN"/>
        </w:rPr>
        <w:t>262.4</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262.4</w:t>
      </w:r>
      <w:r>
        <w:rPr>
          <w:rFonts w:hint="eastAsia" w:ascii="仿宋" w:hAnsi="仿宋" w:eastAsia="仿宋"/>
          <w:bCs/>
          <w:color w:val="auto"/>
          <w:spacing w:val="-4"/>
          <w:sz w:val="32"/>
          <w:szCs w:val="32"/>
        </w:rPr>
        <w:t>万元，自筹资金</w:t>
      </w:r>
      <w:r>
        <w:rPr>
          <w:rFonts w:hint="eastAsia" w:ascii="仿宋" w:hAnsi="仿宋" w:eastAsia="仿宋"/>
          <w:bCs/>
          <w:color w:val="auto"/>
          <w:spacing w:val="-4"/>
          <w:sz w:val="32"/>
          <w:szCs w:val="32"/>
          <w:lang w:val="en-US" w:eastAsia="zh-CN"/>
        </w:rPr>
        <w:t>0</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262.4</w:t>
      </w:r>
      <w:r>
        <w:rPr>
          <w:rFonts w:hint="eastAsia" w:ascii="仿宋" w:hAnsi="仿宋" w:eastAsia="仿宋"/>
          <w:bCs/>
          <w:color w:val="auto"/>
          <w:spacing w:val="-4"/>
          <w:sz w:val="32"/>
          <w:szCs w:val="32"/>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Style w:val="18"/>
          <w:rFonts w:ascii="仿宋" w:hAnsi="仿宋" w:eastAsia="仿宋"/>
          <w:b w:val="0"/>
          <w:spacing w:val="-4"/>
          <w:sz w:val="32"/>
          <w:szCs w:val="32"/>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262.4</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lang w:eastAsia="zh-CN"/>
        </w:rPr>
        <w:t>。</w:t>
      </w:r>
      <w:r>
        <w:rPr>
          <w:rFonts w:hint="eastAsia" w:ascii="仿宋" w:hAnsi="仿宋" w:eastAsia="仿宋"/>
          <w:bCs/>
          <w:color w:val="auto"/>
          <w:spacing w:val="-4"/>
          <w:sz w:val="32"/>
          <w:szCs w:val="32"/>
        </w:rPr>
        <w:t>项目资金主要用于支付</w:t>
      </w:r>
      <w:r>
        <w:rPr>
          <w:rFonts w:hint="eastAsia" w:ascii="仿宋" w:hAnsi="仿宋" w:eastAsia="仿宋"/>
          <w:bCs/>
          <w:color w:val="auto"/>
          <w:spacing w:val="-4"/>
          <w:sz w:val="32"/>
          <w:szCs w:val="32"/>
          <w:lang w:eastAsia="zh-CN"/>
        </w:rPr>
        <w:t>人员工资，其中基本工资</w:t>
      </w:r>
      <w:r>
        <w:rPr>
          <w:rFonts w:hint="eastAsia" w:ascii="仿宋" w:hAnsi="仿宋" w:eastAsia="仿宋"/>
          <w:bCs/>
          <w:color w:val="auto"/>
          <w:spacing w:val="-4"/>
          <w:sz w:val="32"/>
          <w:szCs w:val="32"/>
          <w:lang w:val="en-US" w:eastAsia="zh-CN"/>
        </w:rPr>
        <w:t>125.95</w:t>
      </w:r>
      <w:r>
        <w:rPr>
          <w:rFonts w:hint="eastAsia" w:ascii="仿宋" w:hAnsi="仿宋" w:eastAsia="仿宋"/>
          <w:bCs/>
          <w:color w:val="auto"/>
          <w:spacing w:val="-4"/>
          <w:sz w:val="32"/>
          <w:szCs w:val="32"/>
        </w:rPr>
        <w:t>万元、</w:t>
      </w:r>
      <w:r>
        <w:rPr>
          <w:rFonts w:hint="eastAsia" w:ascii="仿宋" w:hAnsi="仿宋" w:eastAsia="仿宋"/>
          <w:bCs/>
          <w:color w:val="auto"/>
          <w:spacing w:val="-4"/>
          <w:sz w:val="32"/>
          <w:szCs w:val="32"/>
          <w:lang w:eastAsia="zh-CN"/>
        </w:rPr>
        <w:t>津贴补贴</w:t>
      </w:r>
      <w:r>
        <w:rPr>
          <w:rFonts w:hint="eastAsia" w:ascii="仿宋" w:hAnsi="仿宋" w:eastAsia="仿宋"/>
          <w:bCs/>
          <w:color w:val="auto"/>
          <w:spacing w:val="-4"/>
          <w:sz w:val="32"/>
          <w:szCs w:val="32"/>
          <w:lang w:val="en-US" w:eastAsia="zh-CN"/>
        </w:rPr>
        <w:t>136.45</w:t>
      </w:r>
      <w:r>
        <w:rPr>
          <w:rFonts w:hint="eastAsia" w:ascii="仿宋" w:hAnsi="仿宋" w:eastAsia="仿宋"/>
          <w:bCs/>
          <w:color w:val="auto"/>
          <w:spacing w:val="-4"/>
          <w:sz w:val="32"/>
          <w:szCs w:val="32"/>
        </w:rPr>
        <w:t>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rPr>
        <w:t>本项目支出符合</w:t>
      </w:r>
      <w:r>
        <w:rPr>
          <w:rFonts w:hint="eastAsia" w:ascii="仿宋" w:hAnsi="仿宋" w:eastAsia="仿宋"/>
          <w:bCs/>
          <w:color w:val="auto"/>
          <w:spacing w:val="-4"/>
          <w:sz w:val="32"/>
          <w:szCs w:val="32"/>
          <w:lang w:eastAsia="zh-CN"/>
        </w:rPr>
        <w:t>泽普县人力资源和社会保障局</w:t>
      </w:r>
      <w:r>
        <w:rPr>
          <w:rFonts w:hint="eastAsia" w:ascii="仿宋" w:hAnsi="仿宋" w:eastAsia="仿宋"/>
          <w:bCs/>
          <w:color w:val="auto"/>
          <w:spacing w:val="-4"/>
          <w:sz w:val="32"/>
          <w:szCs w:val="32"/>
        </w:rPr>
        <w:t>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560" w:lineRule="exact"/>
        <w:ind w:firstLine="624" w:firstLineChars="200"/>
        <w:rPr>
          <w:rStyle w:val="18"/>
          <w:rFonts w:ascii="仿宋" w:hAnsi="仿宋" w:eastAsia="仿宋"/>
          <w:b w:val="0"/>
          <w:bCs w:val="0"/>
          <w:color w:val="auto"/>
          <w:spacing w:val="-4"/>
          <w:sz w:val="32"/>
          <w:szCs w:val="32"/>
        </w:rPr>
      </w:pPr>
      <w:r>
        <w:rPr>
          <w:rFonts w:hint="eastAsia" w:ascii="仿宋" w:hAnsi="仿宋" w:eastAsia="仿宋" w:cs="宋体"/>
          <w:color w:val="auto"/>
          <w:spacing w:val="-4"/>
          <w:sz w:val="32"/>
          <w:szCs w:val="32"/>
        </w:rPr>
        <w:t>本项目</w:t>
      </w:r>
      <w:r>
        <w:rPr>
          <w:rFonts w:hint="eastAsia" w:ascii="仿宋" w:hAnsi="仿宋" w:eastAsia="仿宋" w:cs="宋体"/>
          <w:color w:val="auto"/>
          <w:spacing w:val="-4"/>
          <w:sz w:val="32"/>
          <w:szCs w:val="32"/>
          <w:lang w:eastAsia="zh-CN"/>
        </w:rPr>
        <w:t>不</w:t>
      </w:r>
      <w:r>
        <w:rPr>
          <w:rFonts w:hint="eastAsia" w:ascii="仿宋" w:hAnsi="仿宋" w:eastAsia="仿宋" w:cs="宋体"/>
          <w:color w:val="auto"/>
          <w:spacing w:val="-4"/>
          <w:sz w:val="32"/>
          <w:szCs w:val="32"/>
        </w:rPr>
        <w:t>存在变更、暂停、取消等情况。</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该项目属于经常性</w:t>
      </w:r>
      <w:r>
        <w:rPr>
          <w:rStyle w:val="18"/>
          <w:rFonts w:hint="eastAsia" w:ascii="仿宋" w:hAnsi="仿宋" w:eastAsia="仿宋"/>
          <w:b w:val="0"/>
          <w:color w:val="auto"/>
          <w:spacing w:val="-4"/>
          <w:sz w:val="32"/>
          <w:szCs w:val="32"/>
          <w:lang w:eastAsia="zh-CN"/>
        </w:rPr>
        <w:t>按月支出人员各项基本经费</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eastAsia="zh-CN"/>
        </w:rPr>
        <w:t>无需</w:t>
      </w:r>
      <w:r>
        <w:rPr>
          <w:rStyle w:val="18"/>
          <w:rFonts w:hint="eastAsia" w:ascii="仿宋" w:hAnsi="仿宋" w:eastAsia="仿宋"/>
          <w:b w:val="0"/>
          <w:color w:val="auto"/>
          <w:spacing w:val="-4"/>
          <w:sz w:val="32"/>
          <w:szCs w:val="32"/>
        </w:rPr>
        <w:t>招投标,由本单位自行组织实施。实施过程均按照本单位制定的管理制度执行。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本项目不存在检查验收程序。</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8"/>
          <w:rFonts w:hint="eastAsia"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项目实施过程中，</w:t>
      </w:r>
      <w:r>
        <w:rPr>
          <w:rStyle w:val="18"/>
          <w:rFonts w:hint="eastAsia" w:ascii="仿宋" w:hAnsi="仿宋" w:eastAsia="仿宋"/>
          <w:b w:val="0"/>
          <w:color w:val="auto"/>
          <w:spacing w:val="-4"/>
          <w:sz w:val="32"/>
          <w:szCs w:val="32"/>
          <w:lang w:eastAsia="zh-CN"/>
        </w:rPr>
        <w:t>由县水管总站实施，水利局监督。</w:t>
      </w:r>
      <w:r>
        <w:rPr>
          <w:rStyle w:val="18"/>
          <w:rFonts w:hint="eastAsia" w:ascii="仿宋" w:hAnsi="仿宋" w:eastAsia="仿宋"/>
          <w:b w:val="0"/>
          <w:color w:val="auto"/>
          <w:spacing w:val="-4"/>
          <w:sz w:val="32"/>
          <w:szCs w:val="32"/>
        </w:rPr>
        <w:t>项目的实施遵守相关法律法规和业务管理规定，项目资料齐全并及时归档。</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二级指标</w:t>
      </w:r>
      <w:r>
        <w:rPr>
          <w:rFonts w:hint="eastAsia" w:ascii="仿宋" w:hAnsi="仿宋" w:eastAsia="仿宋"/>
          <w:bCs/>
          <w:color w:val="auto"/>
          <w:spacing w:val="-4"/>
          <w:sz w:val="32"/>
          <w:szCs w:val="32"/>
          <w:lang w:val="en-US" w:eastAsia="zh-CN"/>
        </w:rPr>
        <w:t>7</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ascii="仿宋" w:hAnsi="仿宋" w:eastAsia="仿宋"/>
          <w:bCs/>
          <w:color w:val="auto"/>
          <w:spacing w:val="-4"/>
          <w:sz w:val="32"/>
          <w:szCs w:val="32"/>
        </w:rPr>
        <w:t>三级指标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，其中</w:t>
      </w:r>
      <w:r>
        <w:rPr>
          <w:rFonts w:ascii="仿宋" w:hAnsi="仿宋" w:eastAsia="仿宋"/>
          <w:bCs/>
          <w:color w:val="auto"/>
          <w:spacing w:val="-4"/>
          <w:sz w:val="32"/>
          <w:szCs w:val="32"/>
        </w:rPr>
        <w:t>已完成三级指标</w:t>
      </w:r>
      <w:r>
        <w:rPr>
          <w:rFonts w:hint="eastAsia" w:ascii="仿宋" w:hAnsi="仿宋" w:eastAsia="仿宋"/>
          <w:bCs/>
          <w:color w:val="auto"/>
          <w:spacing w:val="-4"/>
          <w:sz w:val="32"/>
          <w:szCs w:val="32"/>
          <w:lang w:val="en-US" w:eastAsia="zh-CN"/>
        </w:rPr>
        <w:t>8</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val="en-US" w:eastAsia="zh-CN"/>
        </w:rPr>
      </w:pPr>
      <w:r>
        <w:rPr>
          <w:rStyle w:val="18"/>
          <w:rFonts w:hint="eastAsia" w:ascii="仿宋" w:hAnsi="仿宋" w:eastAsia="仿宋"/>
          <w:b w:val="0"/>
          <w:color w:val="auto"/>
          <w:spacing w:val="-4"/>
          <w:sz w:val="32"/>
          <w:szCs w:val="32"/>
          <w:lang w:eastAsia="zh-CN"/>
        </w:rPr>
        <w:t>项目到位资金</w:t>
      </w:r>
      <w:r>
        <w:rPr>
          <w:rStyle w:val="18"/>
          <w:rFonts w:hint="eastAsia" w:ascii="仿宋" w:hAnsi="仿宋" w:eastAsia="仿宋"/>
          <w:b w:val="0"/>
          <w:color w:val="auto"/>
          <w:spacing w:val="-4"/>
          <w:sz w:val="32"/>
          <w:szCs w:val="32"/>
          <w:lang w:val="en-US" w:eastAsia="zh-CN"/>
        </w:rPr>
        <w:t>262.4万元，</w:t>
      </w:r>
      <w:r>
        <w:rPr>
          <w:rStyle w:val="18"/>
          <w:rFonts w:hint="eastAsia" w:ascii="仿宋" w:hAnsi="仿宋" w:eastAsia="仿宋"/>
          <w:b w:val="0"/>
          <w:color w:val="auto"/>
          <w:spacing w:val="-4"/>
          <w:sz w:val="32"/>
          <w:szCs w:val="32"/>
          <w:lang w:eastAsia="zh-CN"/>
        </w:rPr>
        <w:t>资金发放人员基本经费人数</w:t>
      </w:r>
      <w:r>
        <w:rPr>
          <w:rStyle w:val="18"/>
          <w:rFonts w:hint="eastAsia" w:ascii="仿宋" w:hAnsi="仿宋" w:eastAsia="仿宋"/>
          <w:b w:val="0"/>
          <w:color w:val="auto"/>
          <w:spacing w:val="-4"/>
          <w:sz w:val="32"/>
          <w:szCs w:val="32"/>
          <w:lang w:val="en-US" w:eastAsia="zh-CN"/>
        </w:rPr>
        <w:t>58人，有效降低农业灌溉水费达到5%，部分人员生活情况得到了100%改善，有效促进社会，收益对象达到≥99%满意度。</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w:t>
      </w:r>
      <w:r>
        <w:rPr>
          <w:rStyle w:val="18"/>
          <w:rFonts w:hint="eastAsia" w:ascii="仿宋" w:hAnsi="仿宋" w:eastAsia="仿宋"/>
          <w:b w:val="0"/>
          <w:color w:val="auto"/>
          <w:spacing w:val="-4"/>
          <w:sz w:val="32"/>
          <w:szCs w:val="32"/>
          <w:lang w:val="en-US" w:eastAsia="zh-CN"/>
        </w:rPr>
        <w:t>完成时间5.5个月，项目完成率达到100%</w:t>
      </w:r>
      <w:r>
        <w:rPr>
          <w:rStyle w:val="18"/>
          <w:rFonts w:hint="eastAsia" w:ascii="仿宋" w:hAnsi="仿宋" w:eastAsia="仿宋"/>
          <w:b w:val="0"/>
          <w:color w:val="auto"/>
          <w:spacing w:val="-4"/>
          <w:sz w:val="32"/>
          <w:szCs w:val="32"/>
        </w:rPr>
        <w:t>。</w:t>
      </w:r>
    </w:p>
    <w:p>
      <w:pPr>
        <w:adjustRightInd w:val="0"/>
        <w:snapToGrid w:val="0"/>
        <w:spacing w:line="560" w:lineRule="exact"/>
        <w:ind w:firstLine="624" w:firstLineChars="200"/>
        <w:rPr>
          <w:rFonts w:ascii="仿宋" w:hAnsi="仿宋" w:eastAsia="仿宋"/>
          <w:bCs/>
          <w:color w:val="FF0000"/>
          <w:spacing w:val="-4"/>
          <w:sz w:val="32"/>
          <w:szCs w:val="32"/>
        </w:rPr>
      </w:pPr>
      <w:r>
        <w:rPr>
          <w:rStyle w:val="18"/>
          <w:rFonts w:hint="eastAsia" w:ascii="仿宋" w:hAnsi="仿宋" w:eastAsia="仿宋"/>
          <w:b w:val="0"/>
          <w:color w:val="auto"/>
          <w:spacing w:val="-4"/>
          <w:sz w:val="32"/>
          <w:szCs w:val="32"/>
        </w:rPr>
        <w:t>效益性：</w:t>
      </w:r>
      <w:r>
        <w:rPr>
          <w:rStyle w:val="18"/>
          <w:rFonts w:hint="eastAsia" w:ascii="仿宋" w:hAnsi="仿宋" w:eastAsia="仿宋"/>
          <w:b w:val="0"/>
          <w:color w:val="auto"/>
          <w:spacing w:val="-4"/>
          <w:sz w:val="32"/>
          <w:szCs w:val="32"/>
          <w:lang w:val="en-US" w:eastAsia="zh-CN"/>
        </w:rPr>
        <w:t>部分人员生活情况得到了100%改善，有效促进社会，收益对象达到≥99%满意度。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不存在未完成情况</w:t>
      </w:r>
      <w:r>
        <w:rPr>
          <w:rFonts w:ascii="仿宋" w:hAnsi="仿宋" w:eastAsia="仿宋"/>
          <w:color w:val="auto"/>
          <w:spacing w:val="-4"/>
          <w:sz w:val="32"/>
          <w:szCs w:val="32"/>
        </w:rPr>
        <w:t>:</w:t>
      </w:r>
      <w:r>
        <w:rPr>
          <w:rFonts w:hint="eastAsia" w:ascii="仿宋" w:hAnsi="仿宋" w:eastAsia="仿宋"/>
          <w:color w:val="auto"/>
          <w:spacing w:val="-4"/>
          <w:sz w:val="32"/>
          <w:szCs w:val="32"/>
        </w:rPr>
        <w:t>“201</w:t>
      </w:r>
      <w:r>
        <w:rPr>
          <w:rFonts w:hint="eastAsia" w:ascii="仿宋" w:hAnsi="仿宋" w:eastAsia="仿宋"/>
          <w:color w:val="auto"/>
          <w:spacing w:val="-4"/>
          <w:sz w:val="32"/>
          <w:szCs w:val="32"/>
          <w:lang w:val="en-US" w:eastAsia="zh-CN"/>
        </w:rPr>
        <w:t>8</w:t>
      </w:r>
      <w:r>
        <w:rPr>
          <w:rFonts w:hint="eastAsia" w:ascii="仿宋" w:hAnsi="仿宋" w:eastAsia="仿宋"/>
          <w:color w:val="auto"/>
          <w:spacing w:val="-4"/>
          <w:sz w:val="32"/>
          <w:szCs w:val="32"/>
        </w:rPr>
        <w:t>年本项目绩效目标全部达成，不存在未完成原因分析。”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存在未完成情况：</w:t>
      </w:r>
      <w:r>
        <w:rPr>
          <w:rFonts w:hint="eastAsia" w:ascii="仿宋" w:hAnsi="仿宋" w:eastAsia="仿宋"/>
          <w:color w:val="auto"/>
          <w:spacing w:val="-4"/>
          <w:sz w:val="32"/>
          <w:szCs w:val="32"/>
          <w:lang w:eastAsia="zh-CN"/>
        </w:rPr>
        <w:t>无</w:t>
      </w:r>
      <w:r>
        <w:rPr>
          <w:rFonts w:hint="eastAsia" w:ascii="仿宋" w:hAnsi="仿宋" w:eastAsia="仿宋"/>
          <w:color w:val="auto"/>
          <w:spacing w:val="-4"/>
          <w:sz w:val="32"/>
          <w:szCs w:val="32"/>
        </w:rPr>
        <w:t>。</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rPr>
          <w:rFonts w:ascii="楷体" w:hAnsi="楷体" w:eastAsia="楷体"/>
          <w:b/>
          <w:spacing w:val="-4"/>
          <w:sz w:val="32"/>
          <w:szCs w:val="32"/>
        </w:rPr>
      </w:pPr>
      <w:r>
        <w:rPr>
          <w:rFonts w:hint="eastAsia" w:ascii="仿宋" w:hAnsi="仿宋" w:eastAsia="仿宋"/>
          <w:color w:val="auto"/>
          <w:spacing w:val="-4"/>
          <w:sz w:val="32"/>
          <w:szCs w:val="32"/>
        </w:rPr>
        <w:t>今后我</w:t>
      </w:r>
      <w:r>
        <w:rPr>
          <w:rFonts w:hint="eastAsia" w:ascii="仿宋" w:hAnsi="仿宋" w:eastAsia="仿宋"/>
          <w:color w:val="auto"/>
          <w:spacing w:val="-4"/>
          <w:sz w:val="32"/>
          <w:szCs w:val="32"/>
          <w:lang w:eastAsia="zh-CN"/>
        </w:rPr>
        <w:t>单位</w:t>
      </w:r>
      <w:r>
        <w:rPr>
          <w:rFonts w:hint="eastAsia" w:ascii="仿宋" w:hAnsi="仿宋" w:eastAsia="仿宋"/>
          <w:color w:val="auto"/>
          <w:spacing w:val="-4"/>
          <w:sz w:val="32"/>
          <w:szCs w:val="32"/>
        </w:rPr>
        <w:t>将进一步加强各年度项目资金的管理，保证专款专用和及时足额发放，使其发挥最大的经济效益和社会效益。</w:t>
      </w:r>
      <w:r>
        <w:rPr>
          <w:rFonts w:hint="eastAsia" w:ascii="仿宋" w:hAnsi="仿宋" w:eastAsia="仿宋"/>
          <w:color w:val="auto"/>
          <w:spacing w:val="-4"/>
          <w:sz w:val="32"/>
          <w:szCs w:val="32"/>
          <w:lang w:eastAsia="zh-CN"/>
        </w:rPr>
        <w:t>并根据</w:t>
      </w:r>
      <w:r>
        <w:rPr>
          <w:rFonts w:hint="eastAsia" w:ascii="仿宋" w:hAnsi="仿宋" w:eastAsia="仿宋"/>
          <w:color w:val="auto"/>
          <w:spacing w:val="-4"/>
          <w:sz w:val="32"/>
          <w:szCs w:val="32"/>
          <w:lang w:val="en-US" w:eastAsia="zh-CN"/>
        </w:rPr>
        <w:t>制度进一步明确考核人事体系，让考核制度和职工的绩效工资挂钩，提升干部职工的工作积极性。</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根据新疆维吾尔自治区人民政府办公厅《关于印发南疆三地州及国家贫困县水管单位公益部分人员基本支出经费方案的通知》（新政办发（2009）49号）文件精神要求的规定，泽普县水管单位批编人数82人，专项资金262.4万元。</w:t>
      </w:r>
      <w:r>
        <w:rPr>
          <w:rFonts w:hint="eastAsia" w:ascii="仿宋" w:hAnsi="仿宋" w:eastAsia="仿宋"/>
          <w:bCs/>
          <w:color w:val="auto"/>
          <w:spacing w:val="-4"/>
          <w:sz w:val="32"/>
          <w:szCs w:val="32"/>
          <w:lang w:eastAsia="zh-CN"/>
        </w:rPr>
        <w:t>严格按照文件规定实施项目。</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2009年泽普县水管单位年平均3.2万元/人。近十年来，因人员工资和社保金不断上调，2018年度公益性人员基本支出年平均达到10万元以上/人。随着农业供水成本增加，农业水价上调，导致农民的负担也增加。</w:t>
      </w:r>
    </w:p>
    <w:p>
      <w:pPr>
        <w:numPr>
          <w:ilvl w:val="0"/>
          <w:numId w:val="1"/>
        </w:numPr>
        <w:adjustRightInd w:val="0"/>
        <w:snapToGrid w:val="0"/>
        <w:spacing w:line="560" w:lineRule="exact"/>
        <w:ind w:left="0" w:leftChars="0" w:firstLine="624" w:firstLineChars="200"/>
        <w:rPr>
          <w:rFonts w:hint="eastAsia"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rPr>
          <w:rFonts w:hint="eastAsia" w:ascii="仿宋" w:hAnsi="仿宋" w:eastAsia="仿宋"/>
          <w:bCs/>
          <w:spacing w:val="-4"/>
          <w:sz w:val="32"/>
          <w:szCs w:val="32"/>
        </w:rPr>
      </w:pPr>
      <w:r>
        <w:rPr>
          <w:rFonts w:hint="eastAsia" w:ascii="仿宋" w:hAnsi="仿宋" w:eastAsia="仿宋"/>
          <w:bCs/>
          <w:color w:val="auto"/>
          <w:spacing w:val="-4"/>
          <w:sz w:val="32"/>
          <w:szCs w:val="32"/>
        </w:rPr>
        <w:t>希望可以根据现状上调公益性人员经费标准，并且将专项资金安排在上半年拨付。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楷体" w:hAnsi="楷体" w:eastAsia="楷体"/>
          <w:b/>
          <w:spacing w:val="-4"/>
          <w:sz w:val="32"/>
          <w:szCs w:val="32"/>
        </w:rPr>
      </w:pPr>
      <w:r>
        <w:rPr>
          <w:rFonts w:hint="eastAsia" w:ascii="仿宋" w:hAnsi="仿宋" w:eastAsia="仿宋"/>
          <w:color w:val="auto"/>
          <w:spacing w:val="-4"/>
          <w:sz w:val="32"/>
          <w:szCs w:val="32"/>
        </w:rPr>
        <w:t>无其他说明内容。</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本次评价通过文件研读、实地调研、数据分析等方式，全面了解</w:t>
      </w:r>
      <w:r>
        <w:rPr>
          <w:rFonts w:hint="eastAsia" w:ascii="仿宋" w:hAnsi="仿宋" w:eastAsia="仿宋"/>
          <w:bCs/>
          <w:color w:val="auto"/>
          <w:spacing w:val="-4"/>
          <w:sz w:val="32"/>
          <w:szCs w:val="32"/>
          <w:lang w:val="zh-TW" w:eastAsia="zh-TW"/>
        </w:rPr>
        <w:t>201</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lang w:val="zh-TW" w:eastAsia="zh-TW"/>
        </w:rPr>
        <w:t>年南疆三地州及国家贫困县水管单位公益人员基本支出经费</w:t>
      </w:r>
      <w:r>
        <w:rPr>
          <w:rFonts w:hint="eastAsia" w:ascii="仿宋" w:hAnsi="仿宋" w:eastAsia="仿宋"/>
          <w:color w:val="auto"/>
          <w:spacing w:val="-4"/>
          <w:sz w:val="32"/>
          <w:szCs w:val="32"/>
        </w:rPr>
        <w:t>项目资金的使用效率和效果，项目管理过程规范，完成了预期绩效目标等。同时，通过开展自我评价来总结经验和教训，为</w:t>
      </w:r>
      <w:r>
        <w:rPr>
          <w:rFonts w:hint="eastAsia" w:ascii="仿宋" w:hAnsi="仿宋" w:eastAsia="仿宋"/>
          <w:color w:val="auto"/>
          <w:spacing w:val="-4"/>
          <w:sz w:val="32"/>
          <w:szCs w:val="32"/>
          <w:lang w:eastAsia="zh-CN"/>
        </w:rPr>
        <w:t>泽普县水利局</w:t>
      </w:r>
      <w:r>
        <w:rPr>
          <w:rFonts w:hint="eastAsia" w:ascii="仿宋" w:hAnsi="仿宋" w:eastAsia="仿宋"/>
          <w:bCs/>
          <w:color w:val="auto"/>
          <w:spacing w:val="-4"/>
          <w:sz w:val="32"/>
          <w:szCs w:val="32"/>
          <w:lang w:val="zh-TW" w:eastAsia="zh-TW"/>
        </w:rPr>
        <w:t>201</w:t>
      </w:r>
      <w:r>
        <w:rPr>
          <w:rFonts w:hint="eastAsia" w:ascii="仿宋" w:hAnsi="仿宋" w:eastAsia="仿宋"/>
          <w:bCs/>
          <w:color w:val="auto"/>
          <w:spacing w:val="-4"/>
          <w:sz w:val="32"/>
          <w:szCs w:val="32"/>
          <w:lang w:val="en-US" w:eastAsia="zh-CN"/>
        </w:rPr>
        <w:t>8</w:t>
      </w:r>
      <w:r>
        <w:rPr>
          <w:rFonts w:hint="eastAsia" w:ascii="仿宋" w:hAnsi="仿宋" w:eastAsia="仿宋"/>
          <w:bCs/>
          <w:color w:val="auto"/>
          <w:spacing w:val="-4"/>
          <w:sz w:val="32"/>
          <w:szCs w:val="32"/>
          <w:lang w:val="zh-TW" w:eastAsia="zh-TW"/>
        </w:rPr>
        <w:t>年南疆三地州及国家贫困县水管单位公益人员基本支出经费</w:t>
      </w:r>
      <w:r>
        <w:rPr>
          <w:rFonts w:hint="eastAsia" w:ascii="仿宋" w:hAnsi="仿宋" w:eastAsia="仿宋"/>
          <w:color w:val="auto"/>
          <w:spacing w:val="-4"/>
          <w:sz w:val="32"/>
          <w:szCs w:val="32"/>
        </w:rPr>
        <w:t>项目今后的开展提供参考建议。</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《自治区财政项目支出绩效自评表》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tbl>
      <w:tblPr>
        <w:tblStyle w:val="16"/>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r>
              <w:t>（   2018  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r>
              <w:t/>
            </w:r>
          </w:p>
        </w:tc>
        <w:tc>
          <w:tcPr>
            <w:tcW w:w="1140" w:type="dxa"/>
            <w:tcBorders>
              <w:top w:val="nil"/>
              <w:left w:val="nil"/>
              <w:bottom w:val="nil"/>
              <w:right w:val="nil"/>
            </w:tcBorders>
            <w:shd w:val="clear" w:color="auto" w:fill="auto"/>
            <w:vAlign w:val="center"/>
          </w:tcPr>
          <w:p>
            <w:r>
              <w:t/>
            </w:r>
          </w:p>
        </w:tc>
        <w:tc>
          <w:tcPr>
            <w:tcW w:w="1360" w:type="dxa"/>
            <w:tcBorders>
              <w:top w:val="nil"/>
              <w:left w:val="nil"/>
              <w:bottom w:val="nil"/>
              <w:right w:val="nil"/>
            </w:tcBorders>
            <w:shd w:val="clear" w:color="auto" w:fill="auto"/>
            <w:vAlign w:val="center"/>
          </w:tcPr>
          <w:p>
            <w:r>
              <w:t/>
            </w:r>
          </w:p>
        </w:tc>
        <w:tc>
          <w:tcPr>
            <w:tcW w:w="1080" w:type="dxa"/>
            <w:tcBorders>
              <w:top w:val="nil"/>
              <w:left w:val="nil"/>
              <w:bottom w:val="nil"/>
              <w:right w:val="nil"/>
            </w:tcBorders>
            <w:shd w:val="clear" w:color="auto" w:fill="auto"/>
            <w:vAlign w:val="center"/>
          </w:tcPr>
          <w:p>
            <w:r>
              <w:t/>
            </w:r>
          </w:p>
        </w:tc>
        <w:tc>
          <w:tcPr>
            <w:tcW w:w="880" w:type="dxa"/>
            <w:tcBorders>
              <w:top w:val="nil"/>
              <w:left w:val="nil"/>
              <w:bottom w:val="nil"/>
              <w:right w:val="nil"/>
            </w:tcBorders>
            <w:shd w:val="clear" w:color="auto" w:fill="auto"/>
            <w:vAlign w:val="center"/>
          </w:tcPr>
          <w:p>
            <w:r>
              <w:t/>
            </w:r>
          </w:p>
        </w:tc>
        <w:tc>
          <w:tcPr>
            <w:tcW w:w="2060" w:type="dxa"/>
            <w:tcBorders>
              <w:top w:val="nil"/>
              <w:left w:val="nil"/>
              <w:bottom w:val="nil"/>
              <w:right w:val="nil"/>
            </w:tcBorders>
            <w:shd w:val="clear" w:color="auto" w:fill="auto"/>
            <w:vAlign w:val="center"/>
          </w:tcPr>
          <w:p>
            <w:r>
              <w:t/>
            </w:r>
          </w:p>
        </w:tc>
        <w:tc>
          <w:tcPr>
            <w:tcW w:w="1780" w:type="dxa"/>
            <w:tcBorders>
              <w:top w:val="nil"/>
              <w:left w:val="nil"/>
              <w:bottom w:val="nil"/>
              <w:right w:val="nil"/>
            </w:tcBorders>
            <w:shd w:val="clear" w:color="auto" w:fill="auto"/>
            <w:vAlign w:val="center"/>
          </w:tcPr>
          <w:p>
            <w:r>
              <w:t/>
            </w: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r>
              <w:t>2018年南疆三地州及国家贫困县水管单位公益人员基本支出经费项目</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r>
              <w:t>泽普县水利局　</w:t>
            </w:r>
          </w:p>
        </w:tc>
      </w:tr>
      <w:tr>
        <w:tblPrEx>
          <w:tblLayout w:type="fixed"/>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r>
              <w:t>预算
执行
情况
（万元）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r>
              <w:t>262.4　</w:t>
            </w:r>
          </w:p>
        </w:tc>
        <w:tc>
          <w:tcPr>
            <w:tcW w:w="2060" w:type="dxa"/>
            <w:tcBorders>
              <w:top w:val="nil"/>
              <w:left w:val="nil"/>
              <w:bottom w:val="single" w:color="auto" w:sz="4" w:space="0"/>
              <w:right w:val="single" w:color="auto" w:sz="4" w:space="0"/>
            </w:tcBorders>
            <w:shd w:val="clear" w:color="auto" w:fill="auto"/>
            <w:vAlign w:val="center"/>
          </w:tcPr>
          <w:p>
            <w:r>
              <w:t xml:space="preserve"> 执行数：</w:t>
            </w:r>
          </w:p>
        </w:tc>
        <w:tc>
          <w:tcPr>
            <w:tcW w:w="1780" w:type="dxa"/>
            <w:tcBorders>
              <w:top w:val="nil"/>
              <w:left w:val="nil"/>
              <w:bottom w:val="single" w:color="auto" w:sz="4" w:space="0"/>
              <w:right w:val="single" w:color="auto" w:sz="4" w:space="0"/>
            </w:tcBorders>
            <w:shd w:val="clear" w:color="auto" w:fill="auto"/>
            <w:vAlign w:val="center"/>
          </w:tcPr>
          <w:p>
            <w:r>
              <w:t>262.4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r>
              <w:t>　262.4</w:t>
            </w:r>
          </w:p>
        </w:tc>
        <w:tc>
          <w:tcPr>
            <w:tcW w:w="2060" w:type="dxa"/>
            <w:tcBorders>
              <w:top w:val="nil"/>
              <w:left w:val="nil"/>
              <w:bottom w:val="nil"/>
              <w:right w:val="single" w:color="auto" w:sz="4" w:space="0"/>
            </w:tcBorders>
            <w:shd w:val="clear" w:color="auto" w:fill="auto"/>
            <w:vAlign w:val="center"/>
          </w:tcPr>
          <w:p>
            <w:r>
              <w:t>其中：财政拨款</w:t>
            </w:r>
          </w:p>
        </w:tc>
        <w:tc>
          <w:tcPr>
            <w:tcW w:w="1780" w:type="dxa"/>
            <w:tcBorders>
              <w:top w:val="nil"/>
              <w:left w:val="nil"/>
              <w:bottom w:val="single" w:color="auto" w:sz="4" w:space="0"/>
              <w:right w:val="single" w:color="auto" w:sz="4" w:space="0"/>
            </w:tcBorders>
            <w:shd w:val="clear" w:color="auto" w:fill="auto"/>
            <w:vAlign w:val="center"/>
          </w:tcPr>
          <w:p>
            <w:r>
              <w:t>262.4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r>
              <w:t>　</w:t>
            </w:r>
          </w:p>
        </w:tc>
        <w:tc>
          <w:tcPr>
            <w:tcW w:w="2060" w:type="dxa"/>
            <w:tcBorders>
              <w:top w:val="single" w:color="auto" w:sz="4" w:space="0"/>
              <w:left w:val="nil"/>
              <w:bottom w:val="nil"/>
              <w:right w:val="single" w:color="auto" w:sz="4" w:space="0"/>
            </w:tcBorders>
            <w:shd w:val="clear" w:color="auto" w:fill="auto"/>
            <w:vAlign w:val="center"/>
          </w:tcPr>
          <w:p>
            <w:r>
              <w:t>其他资金</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r>
              <w:t>年度
目标
完成
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r>
              <w:t/>
            </w:r>
          </w:p>
        </w:tc>
        <w:tc>
          <w:tcPr>
            <w:tcW w:w="4460" w:type="dxa"/>
            <w:gridSpan w:val="4"/>
            <w:tcBorders>
              <w:top w:val="single" w:color="auto" w:sz="4" w:space="0"/>
              <w:left w:val="nil"/>
              <w:bottom w:val="single" w:color="auto" w:sz="4" w:space="0"/>
              <w:right w:val="single" w:color="000000" w:sz="4" w:space="0"/>
            </w:tcBorders>
            <w:shd w:val="clear" w:color="auto" w:fill="auto"/>
          </w:tcPr>
          <w:p>
            <w:r>
              <w:t>　1、公益性人员编制数82人，实际在岗人数58人，全年工资及社会保障缴费1070.86万元。                                 2、缓解我县农民群众的水费支出压力                         3、保障干部职工队伍、促进社会</w:t>
            </w:r>
          </w:p>
        </w:tc>
        <w:tc>
          <w:tcPr>
            <w:tcW w:w="3840" w:type="dxa"/>
            <w:gridSpan w:val="2"/>
            <w:tcBorders>
              <w:top w:val="single" w:color="auto" w:sz="4" w:space="0"/>
              <w:left w:val="nil"/>
              <w:bottom w:val="single" w:color="auto" w:sz="4" w:space="0"/>
              <w:right w:val="single" w:color="000000" w:sz="4" w:space="0"/>
            </w:tcBorders>
            <w:shd w:val="clear" w:color="auto" w:fill="auto"/>
          </w:tcPr>
          <w:p>
            <w:r>
              <w:t>1、公益性人员编制数82人，实际在岗人数58人，财政拨款262.4万元。                                                    2、缓解我县农民群众的水费支出压力                        3、保障干部职工队伍、促进社会</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r>
              <w:t>年度
绩效
指标
完成
情况</w:t>
            </w:r>
          </w:p>
        </w:tc>
        <w:tc>
          <w:tcPr>
            <w:tcW w:w="1140" w:type="dxa"/>
            <w:tcBorders>
              <w:top w:val="nil"/>
              <w:left w:val="nil"/>
              <w:bottom w:val="nil"/>
              <w:right w:val="single" w:color="auto" w:sz="4" w:space="0"/>
            </w:tcBorders>
            <w:shd w:val="clear" w:color="auto" w:fill="auto"/>
            <w:vAlign w:val="center"/>
          </w:tcPr>
          <w:p>
            <w:r>
              <w:t>一级指标</w:t>
            </w:r>
          </w:p>
        </w:tc>
        <w:tc>
          <w:tcPr>
            <w:tcW w:w="1360" w:type="dxa"/>
            <w:tcBorders>
              <w:top w:val="nil"/>
              <w:left w:val="nil"/>
              <w:bottom w:val="single" w:color="auto" w:sz="4" w:space="0"/>
              <w:right w:val="single" w:color="auto" w:sz="4" w:space="0"/>
            </w:tcBorders>
            <w:shd w:val="clear" w:color="auto" w:fill="auto"/>
            <w:vAlign w:val="center"/>
          </w:tcPr>
          <w:p>
            <w: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三级指标</w:t>
            </w:r>
          </w:p>
        </w:tc>
        <w:tc>
          <w:tcPr>
            <w:tcW w:w="2060" w:type="dxa"/>
            <w:tcBorders>
              <w:top w:val="nil"/>
              <w:left w:val="nil"/>
              <w:bottom w:val="single" w:color="auto" w:sz="4" w:space="0"/>
              <w:right w:val="single" w:color="auto" w:sz="4" w:space="0"/>
            </w:tcBorders>
            <w:shd w:val="clear" w:color="auto" w:fill="auto"/>
            <w:vAlign w:val="center"/>
          </w:tcPr>
          <w:p>
            <w: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r>
              <w:t>实际完成指标值（包含数字及文字描述）</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指标1：发放人数</w:t>
            </w:r>
          </w:p>
        </w:tc>
        <w:tc>
          <w:tcPr>
            <w:tcW w:w="2060" w:type="dxa"/>
            <w:tcBorders>
              <w:top w:val="nil"/>
              <w:left w:val="nil"/>
              <w:bottom w:val="single" w:color="auto" w:sz="4" w:space="0"/>
              <w:right w:val="single" w:color="auto" w:sz="4" w:space="0"/>
            </w:tcBorders>
            <w:shd w:val="clear" w:color="auto" w:fill="auto"/>
            <w:vAlign w:val="center"/>
          </w:tcPr>
          <w:p>
            <w:r>
              <w:t>　编制人数82人，实际在岗人数58人</w:t>
            </w:r>
          </w:p>
        </w:tc>
        <w:tc>
          <w:tcPr>
            <w:tcW w:w="1780" w:type="dxa"/>
            <w:tcBorders>
              <w:top w:val="nil"/>
              <w:left w:val="nil"/>
              <w:bottom w:val="single" w:color="auto" w:sz="4" w:space="0"/>
              <w:right w:val="single" w:color="auto" w:sz="4" w:space="0"/>
            </w:tcBorders>
            <w:shd w:val="clear" w:color="auto" w:fill="auto"/>
            <w:vAlign w:val="center"/>
          </w:tcPr>
          <w:p>
            <w:r>
              <w:t>　实际在岗人58人</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指标2：到位资金</w:t>
            </w:r>
          </w:p>
        </w:tc>
        <w:tc>
          <w:tcPr>
            <w:tcW w:w="2060" w:type="dxa"/>
            <w:tcBorders>
              <w:top w:val="nil"/>
              <w:left w:val="nil"/>
              <w:bottom w:val="single" w:color="auto" w:sz="4" w:space="0"/>
              <w:right w:val="single" w:color="auto" w:sz="4" w:space="0"/>
            </w:tcBorders>
            <w:shd w:val="clear" w:color="auto" w:fill="auto"/>
            <w:vAlign w:val="center"/>
          </w:tcPr>
          <w:p>
            <w:r>
              <w:t>　262.4万元</w:t>
            </w:r>
          </w:p>
        </w:tc>
        <w:tc>
          <w:tcPr>
            <w:tcW w:w="1780" w:type="dxa"/>
            <w:tcBorders>
              <w:top w:val="nil"/>
              <w:left w:val="nil"/>
              <w:bottom w:val="single" w:color="auto" w:sz="4" w:space="0"/>
              <w:right w:val="single" w:color="auto" w:sz="4" w:space="0"/>
            </w:tcBorders>
            <w:shd w:val="clear" w:color="auto" w:fill="auto"/>
            <w:vAlign w:val="center"/>
          </w:tcPr>
          <w:p>
            <w:r>
              <w:t>　262.4万元</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指标1：项目完成率</w:t>
            </w:r>
          </w:p>
        </w:tc>
        <w:tc>
          <w:tcPr>
            <w:tcW w:w="2060" w:type="dxa"/>
            <w:tcBorders>
              <w:top w:val="nil"/>
              <w:left w:val="nil"/>
              <w:bottom w:val="single" w:color="auto" w:sz="4" w:space="0"/>
              <w:right w:val="single" w:color="auto" w:sz="4" w:space="0"/>
            </w:tcBorders>
            <w:shd w:val="clear" w:color="auto" w:fill="auto"/>
            <w:vAlign w:val="center"/>
          </w:tcPr>
          <w:p>
            <w:r>
              <w:t>　100%</w:t>
            </w:r>
          </w:p>
        </w:tc>
        <w:tc>
          <w:tcPr>
            <w:tcW w:w="1780" w:type="dxa"/>
            <w:tcBorders>
              <w:top w:val="nil"/>
              <w:left w:val="nil"/>
              <w:bottom w:val="single" w:color="auto" w:sz="4" w:space="0"/>
              <w:right w:val="single" w:color="auto" w:sz="4" w:space="0"/>
            </w:tcBorders>
            <w:shd w:val="clear" w:color="auto" w:fill="auto"/>
            <w:vAlign w:val="center"/>
          </w:tcPr>
          <w:p>
            <w: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指标1：项目完成时间</w:t>
            </w:r>
          </w:p>
        </w:tc>
        <w:tc>
          <w:tcPr>
            <w:tcW w:w="2060" w:type="dxa"/>
            <w:tcBorders>
              <w:top w:val="nil"/>
              <w:left w:val="nil"/>
              <w:bottom w:val="single" w:color="auto" w:sz="4" w:space="0"/>
              <w:right w:val="single" w:color="auto" w:sz="4" w:space="0"/>
            </w:tcBorders>
            <w:shd w:val="clear" w:color="auto" w:fill="auto"/>
            <w:vAlign w:val="center"/>
          </w:tcPr>
          <w:p>
            <w:r>
              <w:t>5.5个月</w:t>
            </w:r>
          </w:p>
        </w:tc>
        <w:tc>
          <w:tcPr>
            <w:tcW w:w="1780" w:type="dxa"/>
            <w:tcBorders>
              <w:top w:val="nil"/>
              <w:left w:val="nil"/>
              <w:bottom w:val="single" w:color="auto" w:sz="4" w:space="0"/>
              <w:right w:val="single" w:color="auto" w:sz="4" w:space="0"/>
            </w:tcBorders>
            <w:shd w:val="clear" w:color="auto" w:fill="auto"/>
            <w:vAlign w:val="center"/>
          </w:tcPr>
          <w:p>
            <w:r>
              <w:t>　5.5个月</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指标1：降低农业灌溉水费成本</w:t>
            </w:r>
          </w:p>
        </w:tc>
        <w:tc>
          <w:tcPr>
            <w:tcW w:w="2060" w:type="dxa"/>
            <w:tcBorders>
              <w:top w:val="nil"/>
              <w:left w:val="nil"/>
              <w:bottom w:val="single" w:color="auto" w:sz="4" w:space="0"/>
              <w:right w:val="single" w:color="auto" w:sz="4" w:space="0"/>
            </w:tcBorders>
            <w:shd w:val="clear" w:color="auto" w:fill="auto"/>
            <w:vAlign w:val="center"/>
          </w:tcPr>
          <w:p>
            <w:r>
              <w:t>　5%</w:t>
            </w:r>
          </w:p>
        </w:tc>
        <w:tc>
          <w:tcPr>
            <w:tcW w:w="1780" w:type="dxa"/>
            <w:tcBorders>
              <w:top w:val="nil"/>
              <w:left w:val="nil"/>
              <w:bottom w:val="single" w:color="auto" w:sz="4" w:space="0"/>
              <w:right w:val="single" w:color="auto" w:sz="4" w:space="0"/>
            </w:tcBorders>
            <w:shd w:val="clear" w:color="auto" w:fill="auto"/>
            <w:vAlign w:val="center"/>
          </w:tcPr>
          <w:p>
            <w:r>
              <w:t>　5%</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single" w:color="auto" w:sz="4" w:space="0"/>
              <w:left w:val="single" w:color="auto" w:sz="4" w:space="0"/>
              <w:bottom w:val="single" w:color="auto" w:sz="4" w:space="0"/>
              <w:right w:val="single" w:color="auto" w:sz="4" w:space="0"/>
            </w:tcBorders>
            <w:vAlign w:val="center"/>
          </w:tcPr>
          <w:p>
            <w:r>
              <w:t/>
            </w:r>
          </w:p>
        </w:tc>
        <w:tc>
          <w:tcPr>
            <w:tcW w:w="1360" w:type="dxa"/>
            <w:tcBorders>
              <w:top w:val="nil"/>
              <w:left w:val="nil"/>
              <w:bottom w:val="single" w:color="auto" w:sz="4" w:space="0"/>
              <w:right w:val="single" w:color="auto" w:sz="4" w:space="0"/>
            </w:tcBorders>
            <w:shd w:val="clear" w:color="auto" w:fill="auto"/>
            <w:vAlign w:val="center"/>
          </w:tcPr>
          <w:p>
            <w: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经济效益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指标1：部分人员生活改善情况</w:t>
            </w:r>
          </w:p>
        </w:tc>
        <w:tc>
          <w:tcPr>
            <w:tcW w:w="2060" w:type="dxa"/>
            <w:tcBorders>
              <w:top w:val="nil"/>
              <w:left w:val="nil"/>
              <w:bottom w:val="single" w:color="auto" w:sz="4" w:space="0"/>
              <w:right w:val="single" w:color="auto" w:sz="4" w:space="0"/>
            </w:tcBorders>
            <w:shd w:val="clear" w:color="auto" w:fill="auto"/>
            <w:vAlign w:val="center"/>
          </w:tcPr>
          <w:p>
            <w:r>
              <w:t>　100%</w:t>
            </w:r>
          </w:p>
        </w:tc>
        <w:tc>
          <w:tcPr>
            <w:tcW w:w="1780" w:type="dxa"/>
            <w:tcBorders>
              <w:top w:val="nil"/>
              <w:left w:val="nil"/>
              <w:bottom w:val="single" w:color="auto" w:sz="4" w:space="0"/>
              <w:right w:val="single" w:color="auto" w:sz="4" w:space="0"/>
            </w:tcBorders>
            <w:shd w:val="clear" w:color="auto" w:fill="auto"/>
            <w:vAlign w:val="center"/>
          </w:tcPr>
          <w:p>
            <w: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社会效益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指标1：促进社会</w:t>
            </w:r>
          </w:p>
        </w:tc>
        <w:tc>
          <w:tcPr>
            <w:tcW w:w="2060" w:type="dxa"/>
            <w:tcBorders>
              <w:top w:val="nil"/>
              <w:left w:val="nil"/>
              <w:bottom w:val="single" w:color="auto" w:sz="4" w:space="0"/>
              <w:right w:val="single" w:color="auto" w:sz="4" w:space="0"/>
            </w:tcBorders>
            <w:shd w:val="clear" w:color="auto" w:fill="auto"/>
            <w:vAlign w:val="center"/>
          </w:tcPr>
          <w:p>
            <w:r>
              <w:t>　100%</w:t>
            </w:r>
          </w:p>
        </w:tc>
        <w:tc>
          <w:tcPr>
            <w:tcW w:w="1780" w:type="dxa"/>
            <w:tcBorders>
              <w:top w:val="nil"/>
              <w:left w:val="nil"/>
              <w:bottom w:val="single" w:color="auto" w:sz="4" w:space="0"/>
              <w:right w:val="single" w:color="auto" w:sz="4" w:space="0"/>
            </w:tcBorders>
            <w:shd w:val="clear" w:color="auto" w:fill="auto"/>
            <w:vAlign w:val="center"/>
          </w:tcPr>
          <w:p>
            <w: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生态效益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可持续影响
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auto" w:sz="4" w:space="0"/>
              <w:right w:val="single" w:color="auto" w:sz="4" w:space="0"/>
            </w:tcBorders>
            <w:vAlign w:val="center"/>
          </w:tcPr>
          <w:p>
            <w:r>
              <w:t/>
            </w:r>
          </w:p>
        </w:tc>
        <w:tc>
          <w:tcPr>
            <w:tcW w:w="1360" w:type="dxa"/>
            <w:tcBorders>
              <w:top w:val="nil"/>
              <w:left w:val="nil"/>
              <w:bottom w:val="single" w:color="auto" w:sz="4" w:space="0"/>
              <w:right w:val="single" w:color="auto" w:sz="4" w:space="0"/>
            </w:tcBorders>
            <w:shd w:val="clear" w:color="auto" w:fill="auto"/>
            <w:vAlign w:val="center"/>
          </w:tcPr>
          <w:p>
            <w: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r>
              <w:t>满意度
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指标1：收益对象满意度</w:t>
            </w:r>
          </w:p>
        </w:tc>
        <w:tc>
          <w:tcPr>
            <w:tcW w:w="2060" w:type="dxa"/>
            <w:tcBorders>
              <w:top w:val="nil"/>
              <w:left w:val="nil"/>
              <w:bottom w:val="single" w:color="auto" w:sz="4" w:space="0"/>
              <w:right w:val="single" w:color="auto" w:sz="4" w:space="0"/>
            </w:tcBorders>
            <w:shd w:val="clear" w:color="auto" w:fill="auto"/>
            <w:vAlign w:val="center"/>
          </w:tcPr>
          <w:p>
            <w:r>
              <w:t>≥99%　</w:t>
            </w:r>
          </w:p>
        </w:tc>
        <w:tc>
          <w:tcPr>
            <w:tcW w:w="1780" w:type="dxa"/>
            <w:tcBorders>
              <w:top w:val="nil"/>
              <w:left w:val="nil"/>
              <w:bottom w:val="single" w:color="auto" w:sz="4" w:space="0"/>
              <w:right w:val="single" w:color="auto" w:sz="4" w:space="0"/>
            </w:tcBorders>
            <w:shd w:val="clear" w:color="auto" w:fill="auto"/>
            <w:vAlign w:val="center"/>
          </w:tcPr>
          <w:p>
            <w:r>
              <w:t>　≥99%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000000"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指标2：</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000000" w:sz="4" w:space="0"/>
              <w:right w:val="single" w:color="auto" w:sz="4" w:space="0"/>
            </w:tcBorders>
            <w:vAlign w:val="center"/>
          </w:tcPr>
          <w:p>
            <w:r>
              <w:t/>
            </w:r>
          </w:p>
        </w:tc>
        <w:tc>
          <w:tcPr>
            <w:tcW w:w="1360" w:type="dxa"/>
            <w:vMerge w:val="continue"/>
            <w:tcBorders>
              <w:top w:val="nil"/>
              <w:left w:val="single" w:color="auto" w:sz="4" w:space="0"/>
              <w:bottom w:val="single" w:color="000000" w:sz="4" w:space="0"/>
              <w:right w:val="single" w:color="auto" w:sz="4" w:space="0"/>
            </w:tcBorders>
            <w:vAlign w:val="center"/>
          </w:tcPr>
          <w:p>
            <w:r>
              <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xml:space="preserve">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r>
              <w:t/>
            </w:r>
          </w:p>
        </w:tc>
        <w:tc>
          <w:tcPr>
            <w:tcW w:w="1140" w:type="dxa"/>
            <w:vMerge w:val="continue"/>
            <w:tcBorders>
              <w:top w:val="nil"/>
              <w:left w:val="single" w:color="auto" w:sz="4" w:space="0"/>
              <w:bottom w:val="single" w:color="000000" w:sz="4" w:space="0"/>
              <w:right w:val="single" w:color="auto" w:sz="4" w:space="0"/>
            </w:tcBorders>
            <w:vAlign w:val="center"/>
          </w:tcPr>
          <w:p>
            <w:r>
              <w:t/>
            </w:r>
          </w:p>
        </w:tc>
        <w:tc>
          <w:tcPr>
            <w:tcW w:w="1360" w:type="dxa"/>
            <w:tcBorders>
              <w:top w:val="nil"/>
              <w:left w:val="nil"/>
              <w:bottom w:val="single" w:color="auto" w:sz="4" w:space="0"/>
              <w:right w:val="single" w:color="auto" w:sz="4" w:space="0"/>
            </w:tcBorders>
            <w:shd w:val="clear" w:color="auto" w:fill="auto"/>
            <w:vAlign w:val="center"/>
          </w:tcPr>
          <w:p>
            <w: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r>
              <w:t>　</w:t>
            </w:r>
          </w:p>
        </w:tc>
        <w:tc>
          <w:tcPr>
            <w:tcW w:w="2060" w:type="dxa"/>
            <w:tcBorders>
              <w:top w:val="nil"/>
              <w:left w:val="nil"/>
              <w:bottom w:val="single" w:color="auto" w:sz="4" w:space="0"/>
              <w:right w:val="single" w:color="auto" w:sz="4" w:space="0"/>
            </w:tcBorders>
            <w:shd w:val="clear" w:color="auto" w:fill="auto"/>
            <w:vAlign w:val="center"/>
          </w:tcPr>
          <w:p>
            <w:r>
              <w:t>　</w:t>
            </w:r>
          </w:p>
        </w:tc>
        <w:tc>
          <w:tcPr>
            <w:tcW w:w="1780" w:type="dxa"/>
            <w:tcBorders>
              <w:top w:val="nil"/>
              <w:left w:val="nil"/>
              <w:bottom w:val="single" w:color="auto" w:sz="4" w:space="0"/>
              <w:right w:val="single" w:color="auto" w:sz="4" w:space="0"/>
            </w:tcBorders>
            <w:shd w:val="clear" w:color="auto" w:fill="auto"/>
            <w:vAlign w:val="center"/>
          </w:tcPr>
          <w:p>
            <w:r>
              <w:t>　</w:t>
            </w:r>
          </w:p>
        </w:tc>
      </w:tr>
    </w:tbl>
    <w:p>
      <w:pPr>
        <w:spacing w:line="540" w:lineRule="exact"/>
        <w:rPr>
          <w:rStyle w:val="18"/>
          <w:rFonts w:hint="eastAsia" w:asciiTheme="minorEastAsia" w:hAnsiTheme="minorEastAsia" w:eastAsiaTheme="minorEastAsia"/>
          <w:b w:val="0"/>
          <w:spacing w:val="-4"/>
          <w:sz w:val="20"/>
          <w:szCs w:val="32"/>
        </w:rPr>
      </w:pPr>
      <w:r>
        <w:rPr>
          <w:rStyle w:val="18"/>
          <w:rFonts w:hint="eastAsia" w:asciiTheme="minorEastAsia" w:hAnsiTheme="minorEastAsia" w:eastAsiaTheme="minorEastAsia"/>
          <w:b w:val="0"/>
          <w:spacing w:val="-4"/>
          <w:sz w:val="20"/>
          <w:szCs w:val="32"/>
        </w:rPr>
        <w:t>经办人：</w:t>
      </w:r>
      <w:r>
        <w:rPr>
          <w:rStyle w:val="18"/>
          <w:rFonts w:hint="eastAsia" w:asciiTheme="minorEastAsia" w:hAnsiTheme="minorEastAsia" w:eastAsiaTheme="minorEastAsia"/>
          <w:b w:val="0"/>
          <w:spacing w:val="-4"/>
          <w:sz w:val="20"/>
          <w:szCs w:val="32"/>
          <w:lang w:eastAsia="zh-CN"/>
        </w:rPr>
        <w:t>王礼琳</w:t>
      </w:r>
      <w:r>
        <w:rPr>
          <w:rStyle w:val="18"/>
          <w:rFonts w:hint="eastAsia" w:asciiTheme="minorEastAsia" w:hAnsiTheme="minorEastAsia" w:eastAsiaTheme="minorEastAsia"/>
          <w:b w:val="0"/>
          <w:spacing w:val="-4"/>
          <w:sz w:val="20"/>
          <w:szCs w:val="32"/>
        </w:rPr>
        <w:t xml:space="preserve">          单位负责人： </w:t>
      </w:r>
      <w:r>
        <w:rPr>
          <w:rStyle w:val="18"/>
          <w:rFonts w:hint="eastAsia" w:asciiTheme="minorEastAsia" w:hAnsiTheme="minorEastAsia" w:eastAsiaTheme="minorEastAsia"/>
          <w:b w:val="0"/>
          <w:spacing w:val="-4"/>
          <w:sz w:val="20"/>
          <w:szCs w:val="32"/>
          <w:lang w:eastAsia="zh-CN"/>
        </w:rPr>
        <w:t>艾合买提</w:t>
      </w:r>
      <w:r>
        <w:rPr>
          <w:rStyle w:val="18"/>
          <w:rFonts w:hint="eastAsia" w:asciiTheme="minorEastAsia" w:hAnsiTheme="minorEastAsia" w:eastAsiaTheme="minorEastAsia"/>
          <w:b w:val="0"/>
          <w:spacing w:val="-4"/>
          <w:sz w:val="20"/>
          <w:szCs w:val="32"/>
          <w:lang w:val="en-US" w:eastAsia="zh-CN"/>
        </w:rPr>
        <w:t>·艾海提</w:t>
      </w:r>
      <w:r>
        <w:rPr>
          <w:rStyle w:val="18"/>
          <w:rFonts w:hint="eastAsia" w:asciiTheme="minorEastAsia" w:hAnsiTheme="minorEastAsia" w:eastAsiaTheme="minorEastAsia"/>
          <w:b w:val="0"/>
          <w:spacing w:val="-4"/>
          <w:sz w:val="20"/>
          <w:szCs w:val="32"/>
        </w:rPr>
        <w:t xml:space="preserve">           上报时间：</w:t>
      </w:r>
      <w:r>
        <w:rPr>
          <w:rStyle w:val="18"/>
          <w:rFonts w:hint="eastAsia" w:asciiTheme="minorEastAsia" w:hAnsiTheme="minorEastAsia" w:eastAsiaTheme="minorEastAsia"/>
          <w:b w:val="0"/>
          <w:spacing w:val="-4"/>
          <w:sz w:val="20"/>
          <w:szCs w:val="32"/>
          <w:lang w:val="en-US" w:eastAsia="zh-CN"/>
        </w:rPr>
        <w:t>2019</w:t>
      </w:r>
      <w:r>
        <w:rPr>
          <w:rStyle w:val="18"/>
          <w:rFonts w:hint="eastAsia" w:asciiTheme="minorEastAsia" w:hAnsiTheme="minorEastAsia" w:eastAsiaTheme="minorEastAsia"/>
          <w:b w:val="0"/>
          <w:spacing w:val="-4"/>
          <w:sz w:val="20"/>
          <w:szCs w:val="32"/>
        </w:rPr>
        <w:t>年</w:t>
      </w:r>
      <w:r>
        <w:rPr>
          <w:rStyle w:val="18"/>
          <w:rFonts w:hint="eastAsia" w:asciiTheme="minorEastAsia" w:hAnsiTheme="minorEastAsia" w:eastAsiaTheme="minorEastAsia"/>
          <w:b w:val="0"/>
          <w:spacing w:val="-4"/>
          <w:sz w:val="20"/>
          <w:szCs w:val="32"/>
          <w:lang w:val="en-US" w:eastAsia="zh-CN"/>
        </w:rPr>
        <w:t>01</w:t>
      </w:r>
      <w:r>
        <w:rPr>
          <w:rStyle w:val="18"/>
          <w:rFonts w:hint="eastAsia" w:asciiTheme="minorEastAsia" w:hAnsiTheme="minorEastAsia" w:eastAsiaTheme="minorEastAsia"/>
          <w:b w:val="0"/>
          <w:spacing w:val="-4"/>
          <w:sz w:val="20"/>
          <w:szCs w:val="32"/>
        </w:rPr>
        <w:t>月</w:t>
      </w:r>
      <w:r>
        <w:rPr>
          <w:rStyle w:val="18"/>
          <w:rFonts w:hint="eastAsia" w:asciiTheme="minorEastAsia" w:hAnsiTheme="minorEastAsia" w:eastAsiaTheme="minorEastAsia"/>
          <w:b w:val="0"/>
          <w:spacing w:val="-4"/>
          <w:sz w:val="20"/>
          <w:szCs w:val="32"/>
          <w:lang w:val="en-US" w:eastAsia="zh-CN"/>
        </w:rPr>
        <w:t>25</w:t>
      </w:r>
      <w:r>
        <w:rPr>
          <w:rStyle w:val="18"/>
          <w:rFonts w:hint="eastAsia" w:asciiTheme="minorEastAsia" w:hAnsiTheme="minorEastAsia" w:eastAsiaTheme="minorEastAsia"/>
          <w:b w:val="0"/>
          <w:spacing w:val="-4"/>
          <w:sz w:val="20"/>
          <w:szCs w:val="32"/>
        </w:rPr>
        <w:t xml:space="preserve">日            </w:t>
      </w:r>
    </w:p>
    <w:p>
      <w:pPr>
        <w:spacing w:line="540" w:lineRule="exact"/>
        <w:rPr>
          <w:rStyle w:val="18"/>
          <w:rFonts w:hint="eastAsia" w:asciiTheme="minorEastAsia" w:hAnsiTheme="minorEastAsia" w:eastAsiaTheme="minorEastAsia"/>
          <w:b w:val="0"/>
          <w:spacing w:val="-4"/>
          <w:sz w:val="20"/>
          <w:szCs w:val="32"/>
          <w:lang w:val="en-US" w:eastAsia="zh-CN"/>
        </w:rPr>
      </w:pPr>
      <w:r>
        <w:rPr>
          <w:rStyle w:val="18"/>
          <w:rFonts w:hint="eastAsia" w:asciiTheme="minorEastAsia" w:hAnsiTheme="minorEastAsia" w:eastAsiaTheme="minorEastAsia"/>
          <w:b w:val="0"/>
          <w:spacing w:val="-4"/>
          <w:sz w:val="20"/>
          <w:szCs w:val="32"/>
        </w:rPr>
        <w:t>联系方式：</w:t>
      </w:r>
      <w:r>
        <w:rPr>
          <w:rStyle w:val="18"/>
          <w:rFonts w:hint="eastAsia" w:asciiTheme="minorEastAsia" w:hAnsiTheme="minorEastAsia" w:eastAsiaTheme="minorEastAsia"/>
          <w:b w:val="0"/>
          <w:spacing w:val="-4"/>
          <w:sz w:val="20"/>
          <w:szCs w:val="32"/>
          <w:lang w:val="en-US" w:eastAsia="zh-CN"/>
        </w:rPr>
        <w:t>8246183</w:t>
      </w:r>
      <w:r>
        <w:rPr>
          <w:rStyle w:val="18"/>
          <w:rFonts w:hint="eastAsia" w:asciiTheme="minorEastAsia" w:hAnsiTheme="minorEastAsia" w:eastAsiaTheme="minorEastAsia"/>
          <w:b w:val="0"/>
          <w:spacing w:val="-4"/>
          <w:sz w:val="20"/>
          <w:szCs w:val="32"/>
        </w:rPr>
        <w:t xml:space="preserve">       联系方式：</w:t>
      </w:r>
      <w:r>
        <w:rPr>
          <w:rStyle w:val="18"/>
          <w:rFonts w:hint="eastAsia" w:asciiTheme="minorEastAsia" w:hAnsiTheme="minorEastAsia" w:eastAsiaTheme="minorEastAsia"/>
          <w:b w:val="0"/>
          <w:spacing w:val="-4"/>
          <w:sz w:val="20"/>
          <w:szCs w:val="32"/>
          <w:lang w:val="en-US" w:eastAsia="zh-CN"/>
        </w:rPr>
        <w:t>13899139963</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Arial Unicode MS">
    <w:altName w:val="宋体"/>
    <w:panose1 w:val="020B0604020202020204"/>
    <w:charset w:val="86"/>
    <w:family w:val="swiss"/>
    <w:pitch w:val="default"/>
    <w:sig w:usb0="00000000" w:usb1="00000000" w:usb2="0000003F" w:usb3="00000000" w:csb0="003F01FF" w:csb1="00000000"/>
  </w:font>
  <w:font w:name="仿宋">
    <w:altName w:val="微软雅黑"/>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1A0F3C52" w:usb2="00000010" w:usb3="00000000" w:csb0="0004001F" w:csb1="00000000"/>
  </w:font>
  <w:font w:name="楷体_GB2312">
    <w:panose1 w:val="02010609030101010101"/>
    <w:charset w:val="86"/>
    <w:family w:val="auto"/>
    <w:pitch w:val="default"/>
    <w:sig w:usb0="00000001" w:usb1="080E0000" w:usb2="00000000" w:usb3="00000000" w:csb0="00040000" w:csb1="00000000"/>
  </w:font>
  <w:font w:name="Tahoma">
    <w:panose1 w:val="020B0604030504040204"/>
    <w:charset w:val="00"/>
    <w:family w:val="auto"/>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8EFE20"/>
    <w:multiLevelType w:val="singleLevel"/>
    <w:tmpl w:val="808EFE2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44701603"/>
    <w:rsid w:val="491778F8"/>
    <w:rsid w:val="606843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uiPriority w:val="9"/>
    <w:rPr>
      <w:rFonts w:asciiTheme="majorHAnsi" w:hAnsiTheme="majorHAnsi" w:eastAsiaTheme="majorEastAsia"/>
      <w:b/>
      <w:bCs/>
      <w:kern w:val="32"/>
      <w:sz w:val="32"/>
      <w:szCs w:val="32"/>
    </w:rPr>
  </w:style>
  <w:style w:type="character" w:customStyle="1" w:styleId="21">
    <w:name w:val="标题 2 Char"/>
    <w:basedOn w:val="17"/>
    <w:link w:val="3"/>
    <w:semiHidden/>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uiPriority w:val="9"/>
    <w:rPr>
      <w:b/>
      <w:bCs/>
      <w:sz w:val="28"/>
      <w:szCs w:val="28"/>
    </w:rPr>
  </w:style>
  <w:style w:type="character" w:customStyle="1" w:styleId="24">
    <w:name w:val="标题 5 Char"/>
    <w:basedOn w:val="17"/>
    <w:link w:val="6"/>
    <w:semiHidden/>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7"/>
    <w:qFormat/>
    <w:uiPriority w:val="21"/>
    <w:rPr>
      <w:b/>
      <w:i/>
      <w:sz w:val="24"/>
      <w:szCs w:val="24"/>
      <w:u w:val="single"/>
    </w:rPr>
  </w:style>
  <w:style w:type="character" w:customStyle="1" w:styleId="39">
    <w:name w:val="Subtle Reference"/>
    <w:basedOn w:val="17"/>
    <w:qFormat/>
    <w:uiPriority w:val="31"/>
    <w:rPr>
      <w:sz w:val="24"/>
      <w:szCs w:val="24"/>
      <w:u w:val="single"/>
    </w:rPr>
  </w:style>
  <w:style w:type="character" w:customStyle="1" w:styleId="40">
    <w:name w:val="Intense Reference"/>
    <w:basedOn w:val="17"/>
    <w:qFormat/>
    <w:uiPriority w:val="32"/>
    <w:rPr>
      <w:b/>
      <w:sz w:val="24"/>
      <w:u w:val="single"/>
    </w:rPr>
  </w:style>
  <w:style w:type="character" w:customStyle="1" w:styleId="41">
    <w:name w:val="Book Title"/>
    <w:basedOn w:val="17"/>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uiPriority w:val="99"/>
    <w:rPr>
      <w:rFonts w:ascii="Times New Roman" w:hAnsi="Times New Roman" w:eastAsia="宋体"/>
      <w:kern w:val="2"/>
      <w:sz w:val="18"/>
      <w:szCs w:val="18"/>
    </w:rPr>
  </w:style>
  <w:style w:type="paragraph" w:customStyle="1" w:styleId="46">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footer1.xml" Type="http://schemas.openxmlformats.org/officeDocument/2006/relationships/footer"/><Relationship Id="rId4" Target="theme/theme1.xml" Type="http://schemas.openxmlformats.org/officeDocument/2006/relationships/theme"/><Relationship Id="rId5" Target="../customXml/item1.xml" Type="http://schemas.openxmlformats.org/officeDocument/2006/relationships/customXml"/><Relationship Id="rId6" Target="numbering.xml" Type="http://schemas.openxmlformats.org/officeDocument/2006/relationships/numbering"/><Relationship Id="rId7"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5</TotalTime>
  <ScaleCrop>false</ScaleCrop>
  <LinksUpToDate>false</LinksUpToDate>
  <CharactersWithSpaces>1477</CharactersWithSpaces>
  <Application>WPS Office_11.1.0.8907_F1E327BC-269C-435d-A152-05C5408002CA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快乐果儿</cp:lastModifiedBy>
  <cp:lastPrinted>2018-12-31T10:56:00Z</cp:lastPrinted>
  <dcterms:modified xsi:type="dcterms:W3CDTF">2019-08-09T05:22:02Z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2052-11.1.0.8907</vt:lpwstr>
  </property>
</Properties>
</file>