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附件1：</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2018年度新疆喀什地区泽普县水利局部门决算</w:t>
      </w: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5"/>
      <w:bookmarkStart w:id="1" w:name="OLE_LINK94"/>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第一部分部门单位概况</w:t>
      </w:r>
    </w:p>
    <w:p>
      <w:pPr>
        <w:numPr>
          <w:ilvl w:val="0"/>
          <w:numId w:val="1"/>
        </w:numPr>
        <w:spacing w:line="540" w:lineRule="exact"/>
        <w:ind w:firstLine="640" w:firstLineChars="200"/>
        <w:rPr>
          <w:rFonts w:hint="eastAsia" w:ascii="黑体" w:hAnsi="黑体" w:eastAsia="黑体" w:cs="宋体"/>
          <w:bCs/>
          <w:kern w:val="0"/>
          <w:sz w:val="32"/>
          <w:szCs w:val="32"/>
        </w:rPr>
      </w:pPr>
      <w:r>
        <w:rPr>
          <w:rFonts w:hint="eastAsia" w:ascii="黑体" w:hAnsi="黑体" w:eastAsia="黑体" w:cs="宋体"/>
          <w:bCs/>
          <w:kern w:val="0"/>
          <w:sz w:val="32"/>
          <w:szCs w:val="32"/>
        </w:rPr>
        <w:t>主要职能</w:t>
      </w:r>
    </w:p>
    <w:p>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1、贯彻执行国家和自治区有关水利工作的方针、政策、法律和法规；研究制定本县水利发展规划和年度计划，以及全县河流和渠系的综合治理规划，并组织实施和监督检查。</w:t>
      </w:r>
    </w:p>
    <w:p>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2、统一管理全县水资源（含空中水、地表水、地下水），会同有关部</w:t>
      </w:r>
      <w:bookmarkStart w:id="92" w:name="_GoBack"/>
      <w:bookmarkEnd w:id="92"/>
      <w:r>
        <w:rPr>
          <w:rFonts w:hint="eastAsia" w:ascii="仿宋_GB2312" w:eastAsia="仿宋_GB2312"/>
          <w:sz w:val="32"/>
          <w:szCs w:val="32"/>
          <w:highlight w:val="none"/>
        </w:rPr>
        <w:t>门组织水资源的监测和调查评价；制定全县水中长期供需计划和水量分配议案并监督管理；组织实施取水许可制度和水资源费征收制度，归口管理全县节约用水工作；制定有关标准，指导和监督节约用水工作。</w:t>
      </w:r>
    </w:p>
    <w:p>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3、按照国家资源与环境保护的有关法律法规和标准，拟定水资源保护规划；组织水功能区的划分和向饮水区等水域排污的控制；监测河湖库的水量水质，审定水域纳污能力；提出限制排污总量的意见。</w:t>
      </w:r>
    </w:p>
    <w:p>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4、组织指导水政监察和渔政监察的水行政执法，受县人民政府的委托协调处理县内、与兵团和上游县（市）及其它用水单位间的水事纠纷。</w:t>
      </w:r>
    </w:p>
    <w:p>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5、主管全县河道、水库和人工水道等水域及防洪工程，负责全县防汛抗旱指挥部的的日常工作，负责全县主要河流、水库、地下水的规划综合治理及开发利用工作主管全县防汛抗旱、灌溉管理和水土开发工作。</w:t>
      </w:r>
    </w:p>
    <w:p>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6、对全县水利工程建设进行行业管理，发展水利产业和水利经济。负责组织建设和管理以国家投资为主的重要水利工程；对全县水利、水电、水产综合经营实行行业管理；组织建设和管理水利系统的水电站、小电网和农村水电电气化工程。</w:t>
      </w:r>
    </w:p>
    <w:p>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7、负责城市水务管理、水环境保护等城市水利工作；管理全县农村水利和乡镇供水、人畜饮水工作；保护渔业水域生态环境；组织全县农田水利基本建设工作。</w:t>
      </w:r>
    </w:p>
    <w:p>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8、组织全县水土保持工作，研究制定水土保持的工程措施规划，组织水土流失的监测和综合防治，组织实施全县水土保持设施补偿费和水土流失防治费的征收及监督使用。</w:t>
      </w:r>
    </w:p>
    <w:p>
      <w:pPr>
        <w:spacing w:line="540" w:lineRule="exact"/>
        <w:ind w:firstLine="640" w:firstLineChars="200"/>
        <w:rPr>
          <w:rFonts w:hint="eastAsia" w:ascii="仿宋_GB2312" w:eastAsia="仿宋_GB2312"/>
          <w:sz w:val="32"/>
          <w:szCs w:val="32"/>
          <w:highlight w:val="none"/>
          <w:lang w:val="en-US" w:eastAsia="zh-CN"/>
        </w:rPr>
      </w:pPr>
      <w:r>
        <w:rPr>
          <w:rFonts w:hint="eastAsia" w:ascii="仿宋_GB2312" w:eastAsia="仿宋_GB2312"/>
          <w:sz w:val="32"/>
          <w:szCs w:val="32"/>
          <w:highlight w:val="none"/>
        </w:rPr>
        <w:t>9、承办县人民政府和上级水利部门交办的其他事项。</w:t>
      </w:r>
      <w:r>
        <w:rPr>
          <w:rFonts w:hint="eastAsia" w:ascii="仿宋_GB2312" w:eastAsia="仿宋_GB2312"/>
          <w:sz w:val="32"/>
          <w:szCs w:val="32"/>
          <w:highlight w:val="none"/>
          <w:lang w:val="en-US" w:eastAsia="zh-CN"/>
        </w:rPr>
        <w:t xml:space="preserve">       </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新疆喀什地区泽普县水利局</w:t>
      </w:r>
      <w:r>
        <w:rPr>
          <w:rFonts w:hint="eastAsia" w:ascii="仿宋_GB2312" w:eastAsia="仿宋_GB2312"/>
          <w:sz w:val="32"/>
          <w:szCs w:val="32"/>
        </w:rPr>
        <w:t>部门决算包括：</w:t>
      </w:r>
      <w:r>
        <w:rPr>
          <w:rFonts w:ascii="仿宋_GB2312" w:eastAsia="仿宋_GB2312"/>
          <w:sz w:val="32"/>
          <w:szCs w:val="32"/>
        </w:rPr>
        <w:t>新疆喀什地区泽普县水利局</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新疆喀什地区泽普县水利局</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10"/>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56" w:type="dxa"/>
            <w:vAlign w:val="center"/>
          </w:tcPr>
          <w:p>
            <w:r>
              <w:t>序号</w:t>
            </w:r>
          </w:p>
        </w:tc>
        <w:tc>
          <w:tcPr>
            <w:tcW w:w="3870" w:type="dxa"/>
            <w:vAlign w:val="center"/>
          </w:tcPr>
          <w:p>
            <w:r>
              <w:t>单位名称</w:t>
            </w:r>
          </w:p>
        </w:tc>
        <w:tc>
          <w:tcPr>
            <w:tcW w:w="2538" w:type="dxa"/>
            <w:vAlign w:val="center"/>
          </w:tcPr>
          <w:p>
            <w: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56" w:type="dxa"/>
          </w:tcPr>
          <w:p>
            <w:r>
              <w:t>1</w:t>
            </w:r>
          </w:p>
        </w:tc>
        <w:tc>
          <w:tcPr>
            <w:tcW w:w="3870" w:type="dxa"/>
          </w:tcPr>
          <w:p>
            <w:r>
              <w:t>新疆喀什地区泽普县水利局</w:t>
            </w:r>
          </w:p>
        </w:tc>
        <w:tc>
          <w:tcPr>
            <w:tcW w:w="2538" w:type="dxa"/>
            <w:vAlign w:val="center"/>
          </w:tc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100"/>
      <w:bookmarkStart w:id="5" w:name="OLE_LINK99"/>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9,055.41</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，与上年相比，减少1,567.27万元，下降14.75%，减少的主要原因是：</w:t>
      </w:r>
      <w:r>
        <w:rPr>
          <w:rFonts w:hint="eastAsia" w:ascii="仿宋_GB2312" w:eastAsia="仿宋_GB2312"/>
          <w:color w:val="000000" w:themeColor="text1"/>
          <w:sz w:val="32"/>
          <w:szCs w:val="32"/>
        </w:rPr>
        <w:t>本年度防洪项目减少，到位资金比上年减少；</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10,793.53</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，与上年相比，增加1,908.97万元，增长21.49%，增加的主要原因是：</w:t>
      </w:r>
      <w:r>
        <w:rPr>
          <w:rFonts w:hint="eastAsia" w:ascii="仿宋_GB2312" w:eastAsia="仿宋_GB2312"/>
          <w:color w:val="000000" w:themeColor="text1"/>
          <w:sz w:val="32"/>
          <w:szCs w:val="32"/>
        </w:rPr>
        <w:t>上年防洪等项目结转资金1738.12万元，本年项目继续建设实施上年度项目并完成实施任务，因此本年度项目资金支出比上年增加；</w:t>
      </w:r>
      <w:bookmarkEnd w:id="7"/>
      <w:bookmarkStart w:id="8" w:name="OLE_LINK54"/>
      <w:r>
        <w:rPr>
          <w:rFonts w:hint="eastAsia" w:ascii="仿宋_GB2312" w:eastAsia="仿宋_GB2312"/>
          <w:color w:val="000000" w:themeColor="text1"/>
          <w:sz w:val="32"/>
          <w:szCs w:val="32"/>
        </w:rPr>
        <w:t>结余</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，与上年相比，减少1,738.12万元，下降100%，减少的主要原因是：</w:t>
      </w:r>
      <w:r>
        <w:rPr>
          <w:rFonts w:ascii="仿宋_GB2312" w:eastAsia="仿宋_GB2312"/>
          <w:color w:val="000000" w:themeColor="text1"/>
          <w:sz w:val="32"/>
          <w:szCs w:val="32"/>
        </w:rPr>
        <w:t>2018年加快项目实施进度和支付进度，上年度项目和本年度项目实施完成。</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9,055.41</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9,055.41</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况：本年收入年初预算数1,650.13万元</w:t>
      </w:r>
      <w:r>
        <w:rPr>
          <w:rFonts w:hint="eastAsia" w:ascii="仿宋_GB2312" w:eastAsia="仿宋_GB2312"/>
          <w:sz w:val="32"/>
          <w:szCs w:val="32"/>
        </w:rPr>
        <w:t>，决算数9,055.41万元</w:t>
      </w:r>
      <w:r>
        <w:rPr>
          <w:rFonts w:ascii="仿宋_GB2312" w:eastAsia="仿宋_GB2312"/>
          <w:sz w:val="32"/>
          <w:szCs w:val="32"/>
        </w:rPr>
        <w:t>，预决算差异率448.77%，差异主要原因是2018年预算中项目资金未做安排。</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10,793.53</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509.92</w:t>
      </w:r>
      <w:r>
        <w:rPr>
          <w:rFonts w:hint="eastAsia" w:ascii="仿宋_GB2312" w:eastAsia="仿宋_GB2312"/>
          <w:color w:val="000000" w:themeColor="text1"/>
          <w:sz w:val="32"/>
          <w:szCs w:val="32"/>
        </w:rPr>
        <w:t>万元，占</w:t>
      </w:r>
      <w:r>
        <w:rPr>
          <w:rFonts w:hint="eastAsia" w:ascii="仿宋_GB2312" w:eastAsia="仿宋_GB2312"/>
          <w:sz w:val="32"/>
          <w:szCs w:val="32"/>
        </w:rPr>
        <w:t>4.72%</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10,283.61</w:t>
      </w:r>
      <w:r>
        <w:rPr>
          <w:rFonts w:hint="eastAsia" w:ascii="仿宋_GB2312" w:eastAsia="仿宋_GB2312"/>
          <w:color w:val="000000" w:themeColor="text1"/>
          <w:sz w:val="32"/>
          <w:szCs w:val="32"/>
        </w:rPr>
        <w:t>万元，占</w:t>
      </w:r>
      <w:r>
        <w:rPr>
          <w:rFonts w:hint="eastAsia" w:ascii="仿宋_GB2312" w:eastAsia="仿宋_GB2312"/>
          <w:sz w:val="32"/>
          <w:szCs w:val="32"/>
        </w:rPr>
        <w:t>95.28%</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与年初预算数相比情况：本年支出年初预算数1,650.13万元，</w:t>
      </w:r>
      <w:r>
        <w:rPr>
          <w:rFonts w:hint="eastAsia" w:ascii="仿宋_GB2312" w:eastAsia="仿宋_GB2312"/>
          <w:sz w:val="32"/>
          <w:szCs w:val="32"/>
        </w:rPr>
        <w:t>决算数10,793.53万元</w:t>
      </w:r>
      <w:r>
        <w:rPr>
          <w:rFonts w:ascii="仿宋_GB2312" w:eastAsia="仿宋_GB2312"/>
          <w:sz w:val="32"/>
          <w:szCs w:val="32"/>
        </w:rPr>
        <w:t>，预决算差异率554.1%，差异主要原因是本年度支出上年度防洪等项目结转资金1738.12万元，并且本年度预算中项目资金未做安排。</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7"/>
      <w:bookmarkStart w:id="24" w:name="OLE_LINK58"/>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9,055.41</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，与上年相比，减少686.76万元，下降7.05%，减少的主要原因是：本年度防洪项目减少，到位资金比上年减少。</w:t>
      </w:r>
      <w:bookmarkEnd w:id="23"/>
      <w:bookmarkEnd w:id="24"/>
      <w:bookmarkStart w:id="26" w:name="OLE_LINK14"/>
      <w:bookmarkStart w:id="27" w:name="OLE_LINK60"/>
      <w:bookmarkStart w:id="28" w:name="OLE_LINK59"/>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10,793.53</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，与上年相比，增加2,789.48万元，增长34.85%，增加的主要原因是：</w:t>
      </w:r>
      <w:r>
        <w:rPr>
          <w:rFonts w:ascii="仿宋_GB2312" w:eastAsia="仿宋_GB2312"/>
          <w:sz w:val="32"/>
          <w:szCs w:val="32"/>
        </w:rPr>
        <w:t>上年项目未实施完成有项目结转资金，本年继续实施上年项目，2018年度加快实施本年度的项目建设和支付进度。</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509.92</w:t>
      </w:r>
      <w:r>
        <w:rPr>
          <w:rFonts w:hint="eastAsia" w:ascii="仿宋_GB2312" w:eastAsia="仿宋_GB2312"/>
          <w:color w:val="000000" w:themeColor="text1"/>
          <w:sz w:val="32"/>
          <w:szCs w:val="32"/>
        </w:rPr>
        <w:t>万元，项目支出</w:t>
      </w:r>
      <w:r>
        <w:rPr>
          <w:rFonts w:hint="eastAsia" w:ascii="仿宋_GB2312" w:eastAsia="仿宋_GB2312"/>
          <w:sz w:val="32"/>
          <w:szCs w:val="32"/>
        </w:rPr>
        <w:t>10,283.61</w:t>
      </w:r>
      <w:r>
        <w:rPr>
          <w:rFonts w:hint="eastAsia" w:ascii="仿宋_GB2312" w:eastAsia="仿宋_GB2312"/>
          <w:color w:val="000000" w:themeColor="text1"/>
          <w:sz w:val="32"/>
          <w:szCs w:val="32"/>
        </w:rPr>
        <w:t>万元。</w:t>
      </w:r>
      <w:bookmarkStart w:id="31" w:name="OLE_LINK16"/>
      <w:r>
        <w:rPr>
          <w:rFonts w:hint="eastAsia" w:ascii="仿宋_GB2312" w:eastAsia="仿宋_GB2312"/>
          <w:color w:val="000000" w:themeColor="text1"/>
          <w:sz w:val="32"/>
          <w:szCs w:val="32"/>
        </w:rPr>
        <w:t>财政拨款结转结余</w:t>
      </w:r>
      <w:bookmarkEnd w:id="31"/>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，与上年相比，减少1,738.12万元，下降100%，减少的主要原因是：加快2017年结转项目支付力度及本年度项目实施建设和支付力度。</w:t>
      </w:r>
      <w:bookmarkEnd w:id="29"/>
    </w:p>
    <w:p>
      <w:pPr>
        <w:spacing w:line="540" w:lineRule="exact"/>
        <w:ind w:firstLine="640" w:firstLineChars="200"/>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1,650.13</w:t>
      </w:r>
      <w:r>
        <w:rPr>
          <w:rFonts w:hint="eastAsia" w:ascii="仿宋_GB2312" w:eastAsia="仿宋_GB2312"/>
          <w:color w:val="000000" w:themeColor="text1"/>
          <w:sz w:val="32"/>
          <w:szCs w:val="32"/>
        </w:rPr>
        <w:t>万元，决算数</w:t>
      </w:r>
      <w:r>
        <w:rPr>
          <w:rFonts w:hint="eastAsia" w:ascii="仿宋_GB2312" w:eastAsia="仿宋_GB2312"/>
          <w:sz w:val="32"/>
          <w:szCs w:val="32"/>
        </w:rPr>
        <w:t>9,055.41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，预决算差异率448.77%，差异主要原因是本年度预算中项目资金未做安排。</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1,650.13</w:t>
      </w:r>
      <w:r>
        <w:rPr>
          <w:rFonts w:hint="eastAsia" w:ascii="仿宋_GB2312" w:eastAsia="仿宋_GB2312"/>
          <w:color w:val="000000" w:themeColor="text1"/>
          <w:sz w:val="32"/>
          <w:szCs w:val="32"/>
        </w:rPr>
        <w:t>万元，决算数</w:t>
      </w:r>
      <w:r>
        <w:rPr>
          <w:rFonts w:hint="eastAsia" w:ascii="仿宋_GB2312" w:eastAsia="仿宋_GB2312"/>
          <w:sz w:val="32"/>
          <w:szCs w:val="32"/>
        </w:rPr>
        <w:t>10,793.53</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，预决算差异率554.1%，差异主要原因是本年度支出上年度防洪等项目结转资金1738.12万元，并且本年度预算中项目资金未做安排。</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9,055.41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，与上年相比，减少686.76万元，下降7.05%，减少的主要原因是：本年度防洪项目减少，到位资金比上年减少。</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10,793.53</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，与上年相比，增加2,789.48万元，增长34.85%，增加的主要原因是：上年项目未实施完成有项目结转资金，本年继续实施上年项目，2018年度加快实施本年度的项目建设和支付进度。</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住房保障支出35.89万元,农林水支出10,703.96万元,社会保障和就业支出53.67万元。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工资福利支出745.65万元,商品和服务支出105万元,对个人和家庭的补助26.67万元,资本性支出（基本建设）9,198.12万元,资本性支出718.09万元。</w:t>
      </w:r>
    </w:p>
    <w:p>
      <w:pPr>
        <w:spacing w:line="540" w:lineRule="exact"/>
        <w:ind w:firstLine="640" w:firstLineChars="200"/>
        <w:rPr>
          <w:rFonts w:ascii="仿宋_GB2312" w:eastAsia="仿宋_GB2312"/>
          <w:color w:val="000000" w:themeColor="text1"/>
          <w:sz w:val="32"/>
          <w:szCs w:val="32"/>
        </w:rPr>
      </w:pPr>
      <w:bookmarkStart w:id="41" w:name="OLE_LINK66"/>
      <w:bookmarkStart w:id="42" w:name="OLE_LINK67"/>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1,650.13</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9,055.41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，预决算差异率448.77%，差异主要原因是本年度预算中项目资金未做安排。</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1,650.13</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10,793.53</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，预决算差异率554.1%，差异主要原因是本年度支出上年度防洪等项目结转资金1738.12万元，并且本年度预算中项目资金未做安排。</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，与上年相比无变化，主要原因是：2018年度无政府性基金预算财政拨款收入。</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，与上年相比无变化，主要原因是：2018年度无政府性基金预算财政拨款支出。</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，无。按经济分类科目（按类级科目公开），无。</w:t>
      </w:r>
    </w:p>
    <w:p>
      <w:pPr>
        <w:spacing w:line="540" w:lineRule="exact"/>
        <w:ind w:firstLine="640" w:firstLineChars="200"/>
        <w:rPr>
          <w:rFonts w:ascii="仿宋_GB2312" w:eastAsia="仿宋_GB2312"/>
          <w:color w:val="000000" w:themeColor="text1"/>
          <w:sz w:val="32"/>
          <w:szCs w:val="32"/>
        </w:rPr>
      </w:pPr>
      <w:bookmarkStart w:id="49" w:name="OLE_LINK71"/>
      <w:bookmarkStart w:id="50" w:name="OLE_LINK72"/>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，预决算差异率0%，差异主要原因是2018年度无政府性基金预算财政拨款收入。</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，预决算差异率0%，差异主要原因是2018年度无政府性基金预算财政拨款支出。</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ascii="仿宋_GB2312" w:eastAsia="仿宋_GB2312"/>
          <w:color w:val="000000" w:themeColor="text1"/>
          <w:sz w:val="32"/>
          <w:szCs w:val="32"/>
        </w:rPr>
      </w:pPr>
      <w:bookmarkStart w:id="52" w:name="OLE_LINK26"/>
      <w:bookmarkStart w:id="53" w:name="OLE_LINK25"/>
      <w:r>
        <w:rPr>
          <w:rFonts w:hint="eastAsia" w:ascii="仿宋_GB2312" w:eastAsia="仿宋_GB2312"/>
          <w:color w:val="000000" w:themeColor="text1"/>
          <w:sz w:val="32"/>
          <w:szCs w:val="32"/>
        </w:rPr>
        <w:t>年末结转结余</w:t>
      </w:r>
      <w:bookmarkEnd w:id="52"/>
      <w:bookmarkEnd w:id="53"/>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。与上年相比，减少1,738.12万元，下降100%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rPr>
        <w:t>其中</w:t>
      </w:r>
      <w:bookmarkStart w:id="54" w:name="OLE_LINK28"/>
      <w:bookmarkStart w:id="55" w:name="OLE_LINK27"/>
      <w:r>
        <w:rPr>
          <w:rFonts w:hint="eastAsia" w:ascii="仿宋_GB2312" w:eastAsia="仿宋_GB2312"/>
          <w:color w:val="000000" w:themeColor="text1"/>
          <w:sz w:val="32"/>
          <w:szCs w:val="32"/>
        </w:rPr>
        <w:t>财政拨款结转结余</w:t>
      </w:r>
      <w:bookmarkEnd w:id="54"/>
      <w:bookmarkEnd w:id="5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。与上年相比，减少1,738.12万元，下降100%。</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themeColor="text1"/>
          <w:sz w:val="32"/>
          <w:szCs w:val="32"/>
        </w:rPr>
      </w:pPr>
      <w:bookmarkStart w:id="56" w:name="OLE_LINK74"/>
      <w:r>
        <w:rPr>
          <w:rFonts w:hint="eastAsia" w:ascii="仿宋_GB2312" w:eastAsia="仿宋_GB2312"/>
          <w:color w:val="000000" w:themeColor="text1"/>
          <w:sz w:val="32"/>
          <w:szCs w:val="32"/>
        </w:rPr>
        <w:t>2018年度</w:t>
      </w:r>
      <w:bookmarkStart w:id="57" w:name="OLE_LINK29"/>
      <w:r>
        <w:rPr>
          <w:rFonts w:hint="eastAsia" w:ascii="仿宋_GB2312" w:eastAsia="仿宋_GB2312"/>
          <w:color w:val="000000" w:themeColor="text1"/>
          <w:sz w:val="32"/>
          <w:szCs w:val="32"/>
        </w:rPr>
        <w:t>一般公共预算“三公”经费支出决算</w:t>
      </w:r>
      <w:bookmarkEnd w:id="57"/>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，与上年相比无变化，主要原因是：2018年度本单位无一般公共预算“三公”经费支出。</w:t>
      </w:r>
      <w:bookmarkEnd w:id="56"/>
      <w:bookmarkStart w:id="58" w:name="OLE_LINK75"/>
      <w:r>
        <w:rPr>
          <w:rFonts w:hint="eastAsia" w:ascii="仿宋_GB2312" w:eastAsia="仿宋_GB2312"/>
          <w:color w:val="000000" w:themeColor="text1"/>
          <w:sz w:val="32"/>
          <w:szCs w:val="32"/>
        </w:rPr>
        <w:t>其中，</w:t>
      </w:r>
      <w:bookmarkStart w:id="59" w:name="OLE_LINK30"/>
      <w:r>
        <w:rPr>
          <w:rFonts w:hint="eastAsia" w:ascii="仿宋_GB2312" w:eastAsia="仿宋_GB2312"/>
          <w:color w:val="000000" w:themeColor="text1"/>
          <w:sz w:val="32"/>
          <w:szCs w:val="32"/>
        </w:rPr>
        <w:t>因公出国（境）费支出</w:t>
      </w:r>
      <w:bookmarkEnd w:id="5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0%，与上年相比无变化，主要原因是：2018年度本单位无因公出国（境）费支出；</w:t>
      </w:r>
      <w:bookmarkEnd w:id="58"/>
      <w:bookmarkStart w:id="60" w:name="OLE_LINK31"/>
      <w:bookmarkStart w:id="61" w:name="OLE_LINK76"/>
      <w:r>
        <w:rPr>
          <w:rFonts w:hint="eastAsia" w:ascii="仿宋_GB2312" w:eastAsia="仿宋_GB2312"/>
          <w:color w:val="000000" w:themeColor="text1"/>
          <w:sz w:val="32"/>
          <w:szCs w:val="32"/>
        </w:rPr>
        <w:t>公务用车购置及运行维护费支出</w:t>
      </w:r>
      <w:bookmarkEnd w:id="6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0%，与上年相比无变化，主要原因是：2018年度本单位无公务用车购置及运行维护费支出；</w:t>
      </w:r>
      <w:bookmarkEnd w:id="61"/>
      <w:bookmarkStart w:id="62" w:name="OLE_LINK32"/>
      <w:bookmarkStart w:id="63" w:name="OLE_LINK78"/>
      <w:bookmarkStart w:id="64" w:name="OLE_LINK77"/>
      <w:r>
        <w:rPr>
          <w:rFonts w:hint="eastAsia" w:ascii="仿宋_GB2312" w:eastAsia="仿宋_GB2312"/>
          <w:color w:val="000000" w:themeColor="text1"/>
          <w:sz w:val="32"/>
          <w:szCs w:val="32"/>
        </w:rPr>
        <w:t>公务接待费支出</w:t>
      </w:r>
      <w:bookmarkEnd w:id="6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0%，与上年相比无变化，主要原因是：2018年度本单位无公务接待费支出。</w:t>
      </w:r>
      <w:bookmarkEnd w:id="63"/>
      <w:bookmarkEnd w:id="64"/>
      <w:r>
        <w:rPr>
          <w:rFonts w:hint="eastAsia" w:ascii="仿宋_GB2312" w:eastAsia="仿宋_GB2312"/>
          <w:color w:val="000000" w:themeColor="text1"/>
          <w:sz w:val="32"/>
          <w:szCs w:val="32"/>
        </w:rPr>
        <w:t>具体情况如下：</w:t>
      </w:r>
    </w:p>
    <w:p>
      <w:pPr>
        <w:spacing w:line="540" w:lineRule="exact"/>
        <w:ind w:firstLine="640" w:firstLineChars="200"/>
        <w:rPr>
          <w:rFonts w:ascii="仿宋_GB2312" w:eastAsia="仿宋_GB2312"/>
          <w:color w:val="000000" w:themeColor="text1"/>
          <w:sz w:val="32"/>
          <w:szCs w:val="32"/>
        </w:rPr>
      </w:pPr>
      <w:bookmarkStart w:id="65" w:name="OLE_LINK79"/>
      <w:bookmarkStart w:id="66" w:name="OLE_LINK80"/>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新疆喀什地区泽普县水利局</w:t>
      </w:r>
      <w:r>
        <w:rPr>
          <w:rFonts w:hint="eastAsia" w:ascii="仿宋_GB2312" w:eastAsia="仿宋_GB2312"/>
          <w:color w:val="000000" w:themeColor="text1"/>
          <w:sz w:val="32"/>
          <w:szCs w:val="32"/>
        </w:rPr>
        <w:t>单位</w:t>
      </w:r>
      <w:bookmarkStart w:id="67" w:name="OLE_LINK33"/>
      <w:r>
        <w:rPr>
          <w:rFonts w:hint="eastAsia" w:ascii="仿宋_GB2312" w:eastAsia="仿宋_GB2312"/>
          <w:color w:val="000000" w:themeColor="text1"/>
          <w:sz w:val="32"/>
          <w:szCs w:val="32"/>
        </w:rPr>
        <w:t>全年</w:t>
      </w:r>
      <w:bookmarkStart w:id="68" w:name="OLE_LINK34"/>
      <w:bookmarkStart w:id="69" w:name="OLE_LINK35"/>
      <w:bookmarkStart w:id="70" w:name="OLE_LINK36"/>
      <w:r>
        <w:rPr>
          <w:rFonts w:hint="eastAsia" w:ascii="仿宋_GB2312" w:eastAsia="仿宋_GB2312"/>
          <w:color w:val="000000" w:themeColor="text1"/>
          <w:sz w:val="32"/>
          <w:szCs w:val="32"/>
        </w:rPr>
        <w:t>使用一般公共预算财政拨款安排的出国（境）团组</w:t>
      </w:r>
      <w:bookmarkEnd w:id="67"/>
      <w:bookmarkEnd w:id="68"/>
      <w:bookmarkEnd w:id="69"/>
      <w:r>
        <w:rPr>
          <w:rFonts w:hint="eastAsia" w:ascii="仿宋_GB2312" w:eastAsia="仿宋_GB2312"/>
          <w:sz w:val="32"/>
          <w:szCs w:val="32"/>
        </w:rPr>
        <w:t>0</w:t>
      </w:r>
      <w:r>
        <w:rPr>
          <w:rFonts w:hint="eastAsia" w:ascii="仿宋_GB2312" w:eastAsia="仿宋_GB2312"/>
          <w:color w:val="000000" w:themeColor="text1"/>
          <w:sz w:val="32"/>
          <w:szCs w:val="32"/>
        </w:rPr>
        <w:t>个</w:t>
      </w:r>
      <w:bookmarkEnd w:id="70"/>
      <w:r>
        <w:rPr>
          <w:rFonts w:hint="eastAsia" w:ascii="仿宋_GB2312" w:eastAsia="仿宋_GB2312"/>
          <w:color w:val="000000" w:themeColor="text1"/>
          <w:sz w:val="32"/>
          <w:szCs w:val="32"/>
        </w:rPr>
        <w:t>，</w:t>
      </w:r>
      <w:bookmarkStart w:id="71"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1"/>
      <w:r>
        <w:rPr>
          <w:rFonts w:hint="eastAsia" w:ascii="仿宋_GB2312" w:eastAsia="仿宋_GB2312"/>
          <w:color w:val="000000" w:themeColor="text1"/>
          <w:sz w:val="32"/>
          <w:szCs w:val="32"/>
        </w:rPr>
        <w:t>。</w:t>
      </w:r>
      <w:bookmarkStart w:id="72"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2018年本单位无因公出国（境）费支出。</w:t>
      </w:r>
      <w:bookmarkEnd w:id="65"/>
      <w:bookmarkEnd w:id="66"/>
      <w:bookmarkEnd w:id="72"/>
    </w:p>
    <w:p>
      <w:pPr>
        <w:spacing w:line="540" w:lineRule="exact"/>
        <w:ind w:firstLine="640" w:firstLineChars="200"/>
        <w:rPr>
          <w:rFonts w:ascii="仿宋_GB2312" w:eastAsia="仿宋_GB2312"/>
          <w:color w:val="000000" w:themeColor="text1"/>
          <w:sz w:val="32"/>
          <w:szCs w:val="32"/>
        </w:rPr>
      </w:pPr>
      <w:bookmarkStart w:id="73"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0</w:t>
      </w:r>
      <w:r>
        <w:rPr>
          <w:rFonts w:hint="eastAsia" w:ascii="仿宋_GB2312" w:eastAsia="仿宋_GB2312"/>
          <w:color w:val="000000" w:themeColor="text1"/>
          <w:sz w:val="32"/>
          <w:szCs w:val="32"/>
        </w:rPr>
        <w:t>万元,其中，</w:t>
      </w:r>
      <w:bookmarkStart w:id="74"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4"/>
      <w:r>
        <w:rPr>
          <w:rFonts w:hint="eastAsia" w:ascii="仿宋_GB2312" w:eastAsia="仿宋_GB2312"/>
          <w:color w:val="000000" w:themeColor="text1"/>
          <w:sz w:val="32"/>
          <w:szCs w:val="32"/>
        </w:rPr>
        <w:t>，</w:t>
      </w:r>
      <w:bookmarkStart w:id="75" w:name="OLE_LINK41"/>
      <w:bookmarkStart w:id="76" w:name="OLE_LINK40"/>
      <w:r>
        <w:rPr>
          <w:rFonts w:hint="eastAsia" w:ascii="仿宋_GB2312" w:eastAsia="仿宋_GB2312"/>
          <w:color w:val="000000" w:themeColor="text1"/>
          <w:sz w:val="32"/>
          <w:szCs w:val="32"/>
        </w:rPr>
        <w:t>公务用车运行维护费</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5"/>
      <w:bookmarkEnd w:id="76"/>
      <w:r>
        <w:rPr>
          <w:rFonts w:hint="eastAsia" w:ascii="仿宋_GB2312" w:eastAsia="仿宋_GB2312"/>
          <w:color w:val="000000" w:themeColor="text1"/>
          <w:sz w:val="32"/>
          <w:szCs w:val="32"/>
        </w:rPr>
        <w:t>。主要用于</w:t>
      </w:r>
      <w:r>
        <w:rPr>
          <w:rFonts w:hint="eastAsia" w:ascii="仿宋_GB2312" w:eastAsia="仿宋_GB2312"/>
          <w:sz w:val="32"/>
          <w:szCs w:val="32"/>
        </w:rPr>
        <w:t>2018年度本单位无公务用车购置及运行维护费支出</w:t>
      </w:r>
      <w:r>
        <w:rPr>
          <w:rFonts w:hint="eastAsia" w:ascii="仿宋_GB2312" w:eastAsia="仿宋_GB2312"/>
          <w:color w:val="000000" w:themeColor="text1"/>
          <w:sz w:val="32"/>
          <w:szCs w:val="32"/>
        </w:rPr>
        <w:t>等。</w:t>
      </w:r>
      <w:bookmarkEnd w:id="73"/>
      <w:bookmarkStart w:id="77"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0</w:t>
      </w:r>
      <w:r>
        <w:rPr>
          <w:rFonts w:hint="eastAsia" w:ascii="仿宋_GB2312" w:eastAsia="仿宋_GB2312"/>
          <w:color w:val="000000" w:themeColor="text1"/>
          <w:sz w:val="32"/>
          <w:szCs w:val="32"/>
        </w:rPr>
        <w:t>辆。</w:t>
      </w:r>
      <w:bookmarkEnd w:id="77"/>
    </w:p>
    <w:p>
      <w:pPr>
        <w:spacing w:line="540" w:lineRule="exact"/>
        <w:ind w:firstLine="640" w:firstLineChars="200"/>
        <w:rPr>
          <w:rFonts w:ascii="仿宋_GB2312" w:eastAsia="仿宋_GB2312"/>
          <w:color w:val="000000" w:themeColor="text1"/>
          <w:sz w:val="32"/>
          <w:szCs w:val="32"/>
        </w:rPr>
      </w:pPr>
      <w:bookmarkStart w:id="78"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2018年度本单位无公务接待费支出</w:t>
      </w:r>
      <w:r>
        <w:rPr>
          <w:rFonts w:hint="eastAsia" w:ascii="仿宋_GB2312" w:eastAsia="仿宋_GB2312"/>
          <w:color w:val="000000" w:themeColor="text1"/>
          <w:sz w:val="32"/>
          <w:szCs w:val="32"/>
        </w:rPr>
        <w:t>等。</w:t>
      </w:r>
      <w:bookmarkEnd w:id="78"/>
      <w:bookmarkStart w:id="79" w:name="OLE_LINK84"/>
      <w:r>
        <w:rPr>
          <w:rFonts w:hint="eastAsia" w:ascii="仿宋_GB2312" w:eastAsia="仿宋_GB2312"/>
          <w:sz w:val="32"/>
          <w:szCs w:val="32"/>
        </w:rPr>
        <w:t>新疆喀什地区泽普县水利局</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9"/>
    </w:p>
    <w:p>
      <w:pPr>
        <w:spacing w:line="540" w:lineRule="exact"/>
        <w:ind w:firstLine="640" w:firstLineChars="200"/>
        <w:rPr>
          <w:rFonts w:ascii="仿宋_GB2312" w:hAnsi="宋体" w:eastAsia="仿宋_GB2312" w:cs="宋体"/>
          <w:color w:val="000000" w:themeColor="text1"/>
          <w:kern w:val="0"/>
          <w:sz w:val="32"/>
          <w:szCs w:val="32"/>
        </w:rPr>
      </w:pPr>
      <w:bookmarkStart w:id="80"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，预决算差异率0%，差异主要原因是2018年度本单位无一般公共预算“三公”经费支出。</w:t>
      </w:r>
      <w:bookmarkEnd w:id="80"/>
      <w:bookmarkStart w:id="81" w:name="OLE_LINK87"/>
      <w:bookmarkStart w:id="82" w:name="OLE_LINK86"/>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，预决算差异率0%，差异主要原因是2018年本单位无因公出国（境）费支出；</w:t>
      </w:r>
      <w:bookmarkEnd w:id="81"/>
      <w:bookmarkEnd w:id="82"/>
      <w:bookmarkStart w:id="83" w:name="OLE_LINK89"/>
      <w:bookmarkStart w:id="84" w:name="OLE_LINK88"/>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，预决算差异率0%，差异主要原因是2018年度本单位无公务用车购置费支出；</w:t>
      </w:r>
      <w:bookmarkEnd w:id="83"/>
      <w:bookmarkEnd w:id="84"/>
      <w:bookmarkStart w:id="85"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，预决算差异率0%，差异主要原因是2018年度本单位无公务用车运行费支出；</w:t>
      </w:r>
      <w:bookmarkEnd w:id="85"/>
      <w:bookmarkStart w:id="86"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86"/>
      <w:r>
        <w:rPr>
          <w:rFonts w:ascii="仿宋_GB2312" w:eastAsia="仿宋_GB2312"/>
          <w:color w:val="000000" w:themeColor="text1"/>
          <w:sz w:val="32"/>
          <w:szCs w:val="32"/>
        </w:rPr>
        <w:t>2018年度本单位无公务接待费支出。</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2018年度新疆喀什地区泽普县水利局机关运行经费支出0万元，与上年相比，2018年度本单位无机关运行经费支出。</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7" w:name="OLE_LINK45"/>
      <w:r>
        <w:rPr>
          <w:rFonts w:hint="eastAsia" w:ascii="仿宋_GB2312" w:eastAsia="仿宋_GB2312"/>
          <w:color w:val="000000" w:themeColor="text1"/>
          <w:sz w:val="32"/>
          <w:szCs w:val="32"/>
        </w:rPr>
        <w:t>政府采购支出总额</w:t>
      </w:r>
      <w:bookmarkEnd w:id="87"/>
      <w:r>
        <w:rPr>
          <w:rFonts w:hint="eastAsia" w:ascii="仿宋_GB2312" w:eastAsia="仿宋_GB2312"/>
          <w:sz w:val="32"/>
          <w:szCs w:val="32"/>
        </w:rPr>
        <w:t>1.8</w:t>
      </w:r>
      <w:r>
        <w:rPr>
          <w:rFonts w:hint="eastAsia" w:ascii="仿宋_GB2312" w:eastAsia="仿宋_GB2312"/>
          <w:color w:val="000000" w:themeColor="text1"/>
          <w:sz w:val="32"/>
          <w:szCs w:val="32"/>
        </w:rPr>
        <w:t>万元，其中：</w:t>
      </w:r>
      <w:bookmarkStart w:id="88" w:name="OLE_LINK46"/>
      <w:r>
        <w:rPr>
          <w:rFonts w:hint="eastAsia" w:ascii="仿宋_GB2312" w:eastAsia="仿宋_GB2312"/>
          <w:color w:val="000000" w:themeColor="text1"/>
          <w:sz w:val="32"/>
          <w:szCs w:val="32"/>
        </w:rPr>
        <w:t>政府采购货物支出</w:t>
      </w:r>
      <w:bookmarkEnd w:id="88"/>
      <w:r>
        <w:rPr>
          <w:rFonts w:hint="eastAsia" w:ascii="仿宋_GB2312" w:eastAsia="仿宋_GB2312"/>
          <w:sz w:val="32"/>
          <w:szCs w:val="32"/>
        </w:rPr>
        <w:t>1.8</w:t>
      </w:r>
      <w:r>
        <w:rPr>
          <w:rFonts w:hint="eastAsia" w:ascii="仿宋_GB2312" w:eastAsia="仿宋_GB2312"/>
          <w:color w:val="000000" w:themeColor="text1"/>
          <w:sz w:val="32"/>
          <w:szCs w:val="32"/>
        </w:rPr>
        <w:t>万元、</w:t>
      </w:r>
      <w:bookmarkStart w:id="89" w:name="OLE_LINK47"/>
      <w:r>
        <w:rPr>
          <w:rFonts w:hint="eastAsia" w:ascii="仿宋_GB2312" w:eastAsia="仿宋_GB2312"/>
          <w:color w:val="000000" w:themeColor="text1"/>
          <w:sz w:val="32"/>
          <w:szCs w:val="32"/>
        </w:rPr>
        <w:t>政府采购工程支出</w:t>
      </w:r>
      <w:bookmarkEnd w:id="89"/>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90" w:name="OLE_LINK48"/>
      <w:r>
        <w:rPr>
          <w:rFonts w:hint="eastAsia" w:ascii="仿宋_GB2312" w:eastAsia="仿宋_GB2312"/>
          <w:color w:val="000000" w:themeColor="text1"/>
          <w:sz w:val="32"/>
          <w:szCs w:val="32"/>
        </w:rPr>
        <w:t>政府采购服务支出</w:t>
      </w:r>
      <w:bookmarkEnd w:id="90"/>
      <w:r>
        <w:rPr>
          <w:rFonts w:hint="eastAsia" w:ascii="仿宋_GB2312" w:eastAsia="仿宋_GB2312"/>
          <w:sz w:val="32"/>
          <w:szCs w:val="32"/>
        </w:rPr>
        <w:t>0</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91"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0</w:t>
      </w:r>
      <w:r>
        <w:rPr>
          <w:rFonts w:hint="eastAsia" w:ascii="仿宋_GB2312" w:eastAsia="仿宋_GB2312"/>
          <w:color w:val="000000" w:themeColor="text1"/>
          <w:sz w:val="32"/>
          <w:szCs w:val="32"/>
        </w:rPr>
        <w:t>辆，价值</w:t>
      </w:r>
      <w:r>
        <w:rPr>
          <w:rFonts w:hint="eastAsia" w:ascii="仿宋_GB2312" w:eastAsia="仿宋_GB2312"/>
          <w:sz w:val="32"/>
          <w:szCs w:val="32"/>
        </w:rPr>
        <w:t>0</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本单位无车辆，车辆的资产在下属单位泽普县水管总站中；</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91"/>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2018年度，本单位预算绩效自评情况：一是进一步完善预算绩效管理合力推进机制，充分发挥单位预算绩效管理领导小组各成员的参与作用，促进绩效管理理念与预算管理内涵的不断融合。二是有序推进新增部门预算公开的绩效管理工作。三是积极落实县财政部门的文件精神和要求，研究制定了《项目绩效评价管理办法（试行）》。四是继续推进行业绩效评价指标体系建设，促进单位绩效评价指标体系的进一步完善。分别对单位民生项目和重点支出等项目进行了绩效管理、绩效自评等开展工作。</w:t>
      </w:r>
    </w:p>
    <w:p>
      <w:pPr>
        <w:spacing w:line="540" w:lineRule="exact"/>
        <w:ind w:left="-1" w:right="-1" w:firstLine="646"/>
        <w:jc w:val="left"/>
      </w:pPr>
      <w:r>
        <w:rPr>
          <w:rFonts w:ascii="仿宋_GB2312" w:hAnsi="仿宋_GB2312" w:eastAsia="仿宋_GB2312" w:cs="仿宋_GB2312"/>
          <w:sz w:val="32"/>
        </w:rPr>
        <w:t>1、防渗渠项目绩效自评综述：根据年初设定的绩效目标，该项目绩效自评得分为100分。项目全年预算数为2,821.09万元，执行数为2,821.09万元，完成预算的100%。主要产出和效果：实施后，可改善灌区灌溉条件，提高灌区的农业用水保证率，使灌区内的农作物达到稳产、增产的目的。发现的问题及原因：项目涉及到渠道两侧砍伐树木的问题，需要县上有关部门协调解决，以便工程按时保质保量完工。下一步改进措施：工程实施过程中要求工程档案资料与建设进度同步，使工程能够及时进入审计、完工决算等环节。</w:t>
      </w:r>
    </w:p>
    <w:p>
      <w:pPr>
        <w:spacing w:line="540" w:lineRule="exact"/>
        <w:ind w:left="-1" w:right="-1" w:firstLine="646"/>
        <w:jc w:val="left"/>
      </w:pPr>
      <w:r>
        <w:rPr>
          <w:rFonts w:ascii="仿宋_GB2312" w:hAnsi="仿宋_GB2312" w:eastAsia="仿宋_GB2312" w:cs="仿宋_GB2312"/>
          <w:sz w:val="32"/>
        </w:rPr>
        <w:t>2、泽普县2018年自治区第二批财政专项扶贫资金—渠道（基本农田建设）项目绩效自评综述：根据年初设定的绩效目标，该项目绩效自评得分为100分。项目全年预算数为332.54万元，执行数为332.54万元，完成预算的100%。主要产出和效果：指标完成率为100%，项目实施后，改善灌溉面积0.64万亩，年节水量33.14万方，达到项目实施效果指标，项目实施后，当地受益群众满意率达到95%以上。发现的问题及原因：本项目建后管护工作投入较低,作用较弱。下一步改进措施：与项目运行管理单位办理项目移交手续。</w:t>
      </w:r>
    </w:p>
    <w:p>
      <w:pPr>
        <w:spacing w:line="540" w:lineRule="exact"/>
        <w:ind w:left="-1" w:right="-1" w:firstLine="646"/>
        <w:jc w:val="left"/>
      </w:pPr>
      <w:r>
        <w:rPr>
          <w:rFonts w:ascii="仿宋_GB2312" w:hAnsi="仿宋_GB2312" w:eastAsia="仿宋_GB2312" w:cs="仿宋_GB2312"/>
          <w:sz w:val="32"/>
        </w:rPr>
        <w:t>3、2018年南疆三地州及国家贫困县水管单位公益人员基本支出经费项目绩效自评综述：根据年初设定的绩效目标，该项目绩效自评得分为100分。项目全年预算数为262.4</w:t>
      </w:r>
      <w:r>
        <w:rPr>
          <w:rFonts w:hint="eastAsia" w:ascii="仿宋_GB2312" w:hAnsi="仿宋_GB2312" w:eastAsia="仿宋_GB2312" w:cs="仿宋_GB2312"/>
          <w:sz w:val="32"/>
        </w:rPr>
        <w:t>0</w:t>
      </w:r>
      <w:r>
        <w:rPr>
          <w:rFonts w:ascii="仿宋_GB2312" w:hAnsi="仿宋_GB2312" w:eastAsia="仿宋_GB2312" w:cs="仿宋_GB2312"/>
          <w:sz w:val="32"/>
        </w:rPr>
        <w:t>万元，执行数为262.4</w:t>
      </w:r>
      <w:r>
        <w:rPr>
          <w:rFonts w:hint="eastAsia" w:ascii="仿宋_GB2312" w:hAnsi="仿宋_GB2312" w:eastAsia="仿宋_GB2312" w:cs="仿宋_GB2312"/>
          <w:sz w:val="32"/>
        </w:rPr>
        <w:t>0</w:t>
      </w:r>
      <w:r>
        <w:rPr>
          <w:rFonts w:ascii="仿宋_GB2312" w:hAnsi="仿宋_GB2312" w:eastAsia="仿宋_GB2312" w:cs="仿宋_GB2312"/>
          <w:sz w:val="32"/>
        </w:rPr>
        <w:t>万元，完成预算的100%。主要产出和效果：指标完成率为100%；有效降低农业灌溉水费达到5%，部分人员生活情况得到了100%改善，有效促进社会，收益对象达到≥99%满意度。发现的问题及原因：2009年泽普县水管单位年平均3.2万元/人。近十年来，因人员工资和社保金不断上调，2018年度公益性人员基本支出年平均达到10万元以上/人。随着农业供水成本增加，农业水价上调，导致农民的负担也增加。下一步改进措施：今后我单位将进一步加强各年度项目资金的管理，保证专款专用和及时足额发放，使其发挥最大的经济效益和社会效益。并根据制度进一步明确考核人事体系，让考核制度和职工的绩效工资挂钩，提升干部职工的工作积极性。</w:t>
      </w:r>
    </w:p>
    <w:p>
      <w:pPr>
        <w:spacing w:line="540" w:lineRule="exact"/>
        <w:ind w:left="-1" w:right="-1" w:firstLine="646"/>
        <w:jc w:val="left"/>
      </w:pPr>
      <w:r>
        <w:rPr>
          <w:rFonts w:ascii="仿宋_GB2312" w:hAnsi="仿宋_GB2312" w:eastAsia="仿宋_GB2312" w:cs="仿宋_GB2312"/>
          <w:sz w:val="32"/>
        </w:rPr>
        <w:t>4、2018年自治区偏远贫困地区农村水厂电费补助资金项目绩效自评综述：根据年初设定的绩效目标，该项目绩效自评得分为100分。项目全年预算数为60万元，执行数为60万元，完成预算的100%。主要产出和效果：项目完成率100%，资金全部用于两个水厂电费支出；减少了制水成本，缓解经费压力；有效减少了制水成本。发现的问题及原因：对预算工作缺乏认识，仍需继续加强预算管理和绩效管理。下一步改进措施：在今后的工作一方面要严格预算编制，做到细化精确，争取一些费用纳入财政预算中；另一方面要严格落实项目经费使用管理规定，做到专款专用</w:t>
      </w:r>
    </w:p>
    <w:p>
      <w:pPr>
        <w:spacing w:line="540" w:lineRule="exact"/>
        <w:ind w:left="-1" w:right="-1" w:firstLine="646"/>
        <w:jc w:val="left"/>
      </w:pPr>
      <w:r>
        <w:rPr>
          <w:rFonts w:ascii="仿宋_GB2312" w:hAnsi="仿宋_GB2312" w:eastAsia="仿宋_GB2312" w:cs="仿宋_GB2312"/>
          <w:sz w:val="32"/>
        </w:rPr>
        <w:t>5、泽普县2018年叶尔羌河灌区骨干工程节水改造工程项目绩效自评综述：根据年初设定的绩效目标，该项目绩效自评得分为100分。项目全年预算数为3,898</w:t>
      </w:r>
      <w:r>
        <w:rPr>
          <w:rFonts w:hint="eastAsia" w:ascii="仿宋_GB2312" w:hAnsi="仿宋_GB2312" w:eastAsia="仿宋_GB2312" w:cs="仿宋_GB2312"/>
          <w:sz w:val="32"/>
        </w:rPr>
        <w:t>.00</w:t>
      </w:r>
      <w:r>
        <w:rPr>
          <w:rFonts w:ascii="仿宋_GB2312" w:hAnsi="仿宋_GB2312" w:eastAsia="仿宋_GB2312" w:cs="仿宋_GB2312"/>
          <w:sz w:val="32"/>
        </w:rPr>
        <w:t>万元，执行数为3,898</w:t>
      </w:r>
      <w:r>
        <w:rPr>
          <w:rFonts w:hint="eastAsia" w:ascii="仿宋_GB2312" w:hAnsi="仿宋_GB2312" w:eastAsia="仿宋_GB2312" w:cs="仿宋_GB2312"/>
          <w:sz w:val="32"/>
        </w:rPr>
        <w:t>.00</w:t>
      </w:r>
      <w:r>
        <w:rPr>
          <w:rFonts w:ascii="仿宋_GB2312" w:hAnsi="仿宋_GB2312" w:eastAsia="仿宋_GB2312" w:cs="仿宋_GB2312"/>
          <w:sz w:val="32"/>
        </w:rPr>
        <w:t>万元，完成预算的100%。主要产出和效果：通过该项目的实施，新增粮食综合生产能力798万公斤；改善灌溉面积21.01万亩，促进灌区经济发展；实施后每年节水549.3</w:t>
      </w:r>
      <w:r>
        <w:rPr>
          <w:rFonts w:hint="eastAsia" w:ascii="仿宋_GB2312" w:hAnsi="仿宋_GB2312" w:eastAsia="仿宋_GB2312" w:cs="仿宋_GB2312"/>
          <w:sz w:val="32"/>
        </w:rPr>
        <w:t>0</w:t>
      </w:r>
      <w:r>
        <w:rPr>
          <w:rFonts w:ascii="仿宋_GB2312" w:hAnsi="仿宋_GB2312" w:eastAsia="仿宋_GB2312" w:cs="仿宋_GB2312"/>
          <w:sz w:val="32"/>
        </w:rPr>
        <w:t>万立方米，节约的的水量可用于当地生态林的灌溉；发现的问题及原因：本项目建后管护工作投入较低,作用较弱。下一步改进措施：一是做好本项目主体工程、渠系建筑物日常维护和管理、及时消除安全运行隐患，确保渠道长期发挥灌溉效益。二是监理规范的项目管理制度，加强宣传引导，提高工作人员的管理水平，制定岗位目标，落实目标责任，不断改进总结经验。</w:t>
      </w:r>
    </w:p>
    <w:p>
      <w:pPr>
        <w:spacing w:line="540" w:lineRule="exact"/>
        <w:ind w:left="-1" w:right="-1" w:firstLine="646"/>
        <w:jc w:val="left"/>
      </w:pPr>
      <w:r>
        <w:rPr>
          <w:rFonts w:ascii="仿宋_GB2312" w:hAnsi="仿宋_GB2312" w:eastAsia="仿宋_GB2312" w:cs="仿宋_GB2312"/>
          <w:sz w:val="32"/>
        </w:rPr>
        <w:t>6、农业综合开发中型灌区泽普县伯什干灌区节水配套改造项目绩效自评综述：根据年初设定的绩效目标，该项目绩效自评得分为10分。项目全年预算数为373.67万元，执行数为373.67万元，完成预算的100%。主要产出和效果：通过该项目的实施，新增粮食综合生产能力45万公斤；项目改善灌溉面积9.96万亩，促进灌区经济发展；每年节水55.47万立方米，节约的的水量可用于当地生态林的灌溉。发现的问题及原因：一是对项目信息掌握不准，县财政局下拨自治区财政配套资金之前，未得到今年将下拨资金实施的准确消息，为避免产生设计费等隐性债务，在2018年7月资金落实后开始开展实施方案的编制，造成设计成果提交、设计报告审查、审批时间滞后。二是对现行环评报告表编制、审批周期把握不准，影响了工作进程。以往项目环评编制单位可采用附近检测点已有数据，约10天左右可提交成果，而现行环评报告表编制要求环境影响评价报告表编制单位必须在项目位置进行实地监测，监测时间至少1周以上，加上环评编制单位踏勘现场、资料收集、报告表编制及内部审核时间至少需1个月左右时间，环境影响评价报告表编制单位才能完成编制提交成果。加之根据建设项目环境影响评价审批程序的有关规定，地区环保局对项目环评报告表批复前，需在政府网站上公示至少三次（13天）确定无问题后才能出具审批意见。从环评编制单位进点收集资料、现场检测至地区环保局出具审批文件，期间至少需要2个月时间。下一步改进措施：在今后的工作一方面要严格预算编制，做到细化精确，争取一些费用纳入财政预算中；另一方面要严格落实项目经费使用管理规定，做到专款专用</w:t>
      </w:r>
    </w:p>
    <w:p>
      <w:pPr>
        <w:spacing w:line="540" w:lineRule="exact"/>
        <w:ind w:left="-1" w:right="-1" w:firstLine="646"/>
        <w:jc w:val="left"/>
      </w:pPr>
      <w:r>
        <w:rPr>
          <w:rFonts w:ascii="仿宋_GB2312" w:hAnsi="仿宋_GB2312" w:eastAsia="仿宋_GB2312" w:cs="仿宋_GB2312"/>
          <w:sz w:val="32"/>
        </w:rPr>
        <w:t>7、泽普县饮水安全巩固提升工程一期（续建）项目绩效自评综述：根据年初设定的绩效目标，该项目绩效自评得分为100分。项目全年预算数为798万元，执行数为798万元，完成预算的100%。主要产出和效果：按照年初规划及时竣工并投入使用，符合相关要求，有效降低管网运行维修成本，供水保证率有效提高。完成供水管网巩固提升改造铺设108公里。指标完成率为100%。发现的问题及原因：1、农村饮水配网工程实施难度较大，新农村美化工程、乡村道路工程的建设，造成供水配网没有地方铺设，在工程进度和协调上存在一定困难。 2、农村饮水安全工程多涉及到输水管道穿越菜地、耕地的现象，需对耕地上的作物进行赔偿，占地补偿无第三方认证，赔偿标准无法确定，赔偿落实难。下一步改进措施：工程验收完毕后交由泽普县农村饮水安全工程管理站负责管理，由县农村饮水安全工程管理站派专门的工作人员负责工程建后运行管理，人员工资和办公经费均由水费支出。泽普县饮水安全巩固提升工程一期项目（续建）于2018年8月30日全部完工。按批准建设内容、规模和标准全部完成，本阶段已办理了工程移交手续。</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hint="eastAsia"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213（类）03（款）14（项）指：防汛。213（类）06（款）99（项）指：其他农业综合开发支出。213（类）03（款）01（项）指：行政运行。213（类）05（款）05（项）指：生产发展。213（类）03（款）05（项）指：水利工程建设。213（类）03（款）16（项）指：农田水利。221（类）02（款）01（项）指：住房公积金。213（类）03（款）06（项）指：水利工程运行与维护。213（类）03（款）99（项）指：其他水利支出。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9631" w:y="37"/>
      <w:jc w:val="right"/>
      <w:rPr>
        <w:rStyle w:val="8"/>
        <w:rFonts w:ascii="宋体" w:hAnsi="宋体" w:eastAsia="宋体"/>
        <w:sz w:val="28"/>
      </w:rPr>
    </w:pPr>
    <w:r>
      <w:rPr>
        <w:rStyle w:val="8"/>
        <w:rFonts w:ascii="宋体" w:hAnsi="宋体" w:eastAsia="宋体"/>
        <w:sz w:val="28"/>
      </w:rPr>
      <w:fldChar w:fldCharType="begin"/>
    </w:r>
    <w:r>
      <w:rPr>
        <w:rStyle w:val="8"/>
        <w:rFonts w:ascii="宋体" w:hAnsi="宋体" w:eastAsia="宋体"/>
        <w:sz w:val="28"/>
      </w:rPr>
      <w:instrText xml:space="preserve"> PAGE </w:instrText>
    </w:r>
    <w:r>
      <w:rPr>
        <w:rStyle w:val="8"/>
        <w:rFonts w:ascii="宋体" w:hAnsi="宋体" w:eastAsia="宋体"/>
        <w:sz w:val="28"/>
      </w:rPr>
      <w:fldChar w:fldCharType="separate"/>
    </w:r>
    <w:r>
      <w:rPr>
        <w:rStyle w:val="8"/>
        <w:rFonts w:ascii="宋体" w:hAnsi="宋体" w:eastAsia="宋体"/>
        <w:sz w:val="28"/>
      </w:rPr>
      <w:t>- 3 -</w:t>
    </w:r>
    <w:r>
      <w:rPr>
        <w:rStyle w:val="8"/>
        <w:rFonts w:ascii="宋体" w:hAnsi="宋体" w:eastAsia="宋体"/>
        <w:sz w:val="28"/>
      </w:rPr>
      <w:fldChar w:fldCharType="end"/>
    </w:r>
  </w:p>
  <w:p>
    <w:pPr>
      <w:pStyle w:val="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1756" w:y="37"/>
      <w:rPr>
        <w:rStyle w:val="8"/>
        <w:rFonts w:ascii="宋体" w:hAnsi="宋体" w:eastAsia="宋体"/>
        <w:sz w:val="28"/>
        <w:szCs w:val="28"/>
      </w:rPr>
    </w:pPr>
    <w:r>
      <w:rPr>
        <w:rStyle w:val="8"/>
        <w:rFonts w:ascii="宋体" w:hAnsi="宋体" w:eastAsia="宋体"/>
        <w:sz w:val="28"/>
        <w:szCs w:val="28"/>
      </w:rPr>
      <w:fldChar w:fldCharType="begin"/>
    </w:r>
    <w:r>
      <w:rPr>
        <w:rStyle w:val="8"/>
        <w:rFonts w:ascii="宋体" w:hAnsi="宋体" w:eastAsia="宋体"/>
        <w:sz w:val="28"/>
        <w:szCs w:val="28"/>
      </w:rPr>
      <w:instrText xml:space="preserve">PAGE  </w:instrText>
    </w:r>
    <w:r>
      <w:rPr>
        <w:rStyle w:val="8"/>
        <w:rFonts w:ascii="宋体" w:hAnsi="宋体" w:eastAsia="宋体"/>
        <w:sz w:val="28"/>
        <w:szCs w:val="28"/>
      </w:rPr>
      <w:fldChar w:fldCharType="separate"/>
    </w:r>
    <w:r>
      <w:rPr>
        <w:rStyle w:val="8"/>
        <w:rFonts w:ascii="宋体" w:hAnsi="宋体" w:eastAsia="宋体"/>
        <w:sz w:val="28"/>
        <w:szCs w:val="28"/>
      </w:rPr>
      <w:t>-12-</w:t>
    </w:r>
    <w:r>
      <w:rPr>
        <w:rStyle w:val="8"/>
        <w:rFonts w:ascii="宋体" w:hAnsi="宋体" w:eastAsia="宋体"/>
        <w:sz w:val="28"/>
        <w:szCs w:val="28"/>
      </w:rPr>
      <w:fldChar w:fldCharType="end"/>
    </w:r>
  </w:p>
  <w:p>
    <w:pPr>
      <w:pStyle w:val="5"/>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CD74E15"/>
    <w:multiLevelType w:val="singleLevel"/>
    <w:tmpl w:val="6CD74E1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96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A606E"/>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0656"/>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87FE9"/>
    <w:rsid w:val="00F97BF1"/>
    <w:rsid w:val="00FA29D8"/>
    <w:rsid w:val="00FA5F5D"/>
    <w:rsid w:val="00FB0BA6"/>
    <w:rsid w:val="00FC29A0"/>
    <w:rsid w:val="00FC6C17"/>
    <w:rsid w:val="00FE48DB"/>
    <w:rsid w:val="00FF3620"/>
    <w:rsid w:val="00FF3A84"/>
    <w:rsid w:val="01110239"/>
    <w:rsid w:val="028847F9"/>
    <w:rsid w:val="03AA79F6"/>
    <w:rsid w:val="04741FE5"/>
    <w:rsid w:val="04DB02C7"/>
    <w:rsid w:val="06B856EE"/>
    <w:rsid w:val="07FE5938"/>
    <w:rsid w:val="084604BC"/>
    <w:rsid w:val="08883825"/>
    <w:rsid w:val="09725983"/>
    <w:rsid w:val="0A382BB5"/>
    <w:rsid w:val="0AA4543A"/>
    <w:rsid w:val="0BE61132"/>
    <w:rsid w:val="0BFD33C1"/>
    <w:rsid w:val="0C9B0DD6"/>
    <w:rsid w:val="0CE4791C"/>
    <w:rsid w:val="0E063C64"/>
    <w:rsid w:val="0F4C7B96"/>
    <w:rsid w:val="0FFB575E"/>
    <w:rsid w:val="10845F1B"/>
    <w:rsid w:val="11463A00"/>
    <w:rsid w:val="11600918"/>
    <w:rsid w:val="11B0398F"/>
    <w:rsid w:val="13B960C5"/>
    <w:rsid w:val="152777F4"/>
    <w:rsid w:val="15C674B6"/>
    <w:rsid w:val="18D54A0D"/>
    <w:rsid w:val="1A4106A0"/>
    <w:rsid w:val="1A4F5437"/>
    <w:rsid w:val="1AB77CD0"/>
    <w:rsid w:val="1E807156"/>
    <w:rsid w:val="1EA657F6"/>
    <w:rsid w:val="1F097CB6"/>
    <w:rsid w:val="2166156B"/>
    <w:rsid w:val="21B02D83"/>
    <w:rsid w:val="22A236F5"/>
    <w:rsid w:val="23995975"/>
    <w:rsid w:val="2432220E"/>
    <w:rsid w:val="248303BA"/>
    <w:rsid w:val="24837E47"/>
    <w:rsid w:val="252E01AA"/>
    <w:rsid w:val="2680023E"/>
    <w:rsid w:val="29680352"/>
    <w:rsid w:val="2A020F75"/>
    <w:rsid w:val="2AD03C4A"/>
    <w:rsid w:val="2B007AEE"/>
    <w:rsid w:val="2BC14C56"/>
    <w:rsid w:val="2C1B026F"/>
    <w:rsid w:val="2CC61F55"/>
    <w:rsid w:val="2EF7452F"/>
    <w:rsid w:val="2F1D13B4"/>
    <w:rsid w:val="2FAA3DA6"/>
    <w:rsid w:val="30682E1F"/>
    <w:rsid w:val="30E210D2"/>
    <w:rsid w:val="311371D6"/>
    <w:rsid w:val="31EB64C9"/>
    <w:rsid w:val="336D0D6F"/>
    <w:rsid w:val="352E4BEC"/>
    <w:rsid w:val="37DD5594"/>
    <w:rsid w:val="38F24FA8"/>
    <w:rsid w:val="3A98342A"/>
    <w:rsid w:val="3AB6780E"/>
    <w:rsid w:val="3AD56D70"/>
    <w:rsid w:val="3B2920C2"/>
    <w:rsid w:val="3BE41ABD"/>
    <w:rsid w:val="3C5421A9"/>
    <w:rsid w:val="3D903B21"/>
    <w:rsid w:val="3F440741"/>
    <w:rsid w:val="41FC306C"/>
    <w:rsid w:val="44BE5554"/>
    <w:rsid w:val="451E0908"/>
    <w:rsid w:val="452C2D31"/>
    <w:rsid w:val="45D26E14"/>
    <w:rsid w:val="46A541B1"/>
    <w:rsid w:val="48C57772"/>
    <w:rsid w:val="49782886"/>
    <w:rsid w:val="4A6F0D28"/>
    <w:rsid w:val="4AAF085C"/>
    <w:rsid w:val="4AEB7E60"/>
    <w:rsid w:val="4B4B135B"/>
    <w:rsid w:val="4BC7055F"/>
    <w:rsid w:val="4CFC7DB2"/>
    <w:rsid w:val="4E7C187D"/>
    <w:rsid w:val="4EEC1B14"/>
    <w:rsid w:val="508941AD"/>
    <w:rsid w:val="50E65530"/>
    <w:rsid w:val="51457139"/>
    <w:rsid w:val="51574DBD"/>
    <w:rsid w:val="51EC1DA8"/>
    <w:rsid w:val="52FC5524"/>
    <w:rsid w:val="532D7A17"/>
    <w:rsid w:val="54AF4562"/>
    <w:rsid w:val="54C9674B"/>
    <w:rsid w:val="556318EA"/>
    <w:rsid w:val="55A60AA1"/>
    <w:rsid w:val="56451615"/>
    <w:rsid w:val="57FC5774"/>
    <w:rsid w:val="59B332C9"/>
    <w:rsid w:val="5A44758A"/>
    <w:rsid w:val="5BEC4BB3"/>
    <w:rsid w:val="5C070B55"/>
    <w:rsid w:val="5CB96DCE"/>
    <w:rsid w:val="5CE61580"/>
    <w:rsid w:val="5D175666"/>
    <w:rsid w:val="5D556A3C"/>
    <w:rsid w:val="5D7B25C9"/>
    <w:rsid w:val="5ECB44B4"/>
    <w:rsid w:val="5EE2043C"/>
    <w:rsid w:val="602D2E37"/>
    <w:rsid w:val="61460FBE"/>
    <w:rsid w:val="62775810"/>
    <w:rsid w:val="62D83744"/>
    <w:rsid w:val="630F4048"/>
    <w:rsid w:val="63AA02E5"/>
    <w:rsid w:val="64700DE9"/>
    <w:rsid w:val="65C613BD"/>
    <w:rsid w:val="65FD118C"/>
    <w:rsid w:val="682C3D89"/>
    <w:rsid w:val="68611305"/>
    <w:rsid w:val="6A162DE0"/>
    <w:rsid w:val="6A331428"/>
    <w:rsid w:val="6B2E5CB6"/>
    <w:rsid w:val="6B3D4886"/>
    <w:rsid w:val="6DF8675E"/>
    <w:rsid w:val="6EA80098"/>
    <w:rsid w:val="6F8D70FF"/>
    <w:rsid w:val="6FFE5011"/>
    <w:rsid w:val="7178734D"/>
    <w:rsid w:val="71791096"/>
    <w:rsid w:val="717B0C34"/>
    <w:rsid w:val="71FB78FD"/>
    <w:rsid w:val="7275064A"/>
    <w:rsid w:val="733F750B"/>
    <w:rsid w:val="735702E2"/>
    <w:rsid w:val="765F635A"/>
    <w:rsid w:val="76B73454"/>
    <w:rsid w:val="76D254BD"/>
    <w:rsid w:val="77727ACD"/>
    <w:rsid w:val="78071142"/>
    <w:rsid w:val="79296B37"/>
    <w:rsid w:val="7A4C4C40"/>
    <w:rsid w:val="7AA0518E"/>
    <w:rsid w:val="7B041636"/>
    <w:rsid w:val="7B1D284F"/>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3"/>
    <w:semiHidden/>
    <w:unhideWhenUsed/>
    <w:qFormat/>
    <w:uiPriority w:val="99"/>
    <w:rPr>
      <w:b/>
      <w:bCs/>
    </w:rPr>
  </w:style>
  <w:style w:type="paragraph" w:styleId="3">
    <w:name w:val="annotation text"/>
    <w:basedOn w:val="1"/>
    <w:link w:val="12"/>
    <w:semiHidden/>
    <w:unhideWhenUsed/>
    <w:qFormat/>
    <w:uiPriority w:val="99"/>
    <w:pPr>
      <w:jc w:val="left"/>
    </w:pPr>
  </w:style>
  <w:style w:type="paragraph" w:styleId="4">
    <w:name w:val="Balloon Text"/>
    <w:basedOn w:val="1"/>
    <w:link w:val="14"/>
    <w:semiHidden/>
    <w:unhideWhenUsed/>
    <w:qFormat/>
    <w:uiPriority w:val="99"/>
    <w:rPr>
      <w:sz w:val="18"/>
      <w:szCs w:val="18"/>
    </w:rPr>
  </w:style>
  <w:style w:type="paragraph" w:styleId="5">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styleId="9">
    <w:name w:val="annotation reference"/>
    <w:basedOn w:val="7"/>
    <w:semiHidden/>
    <w:unhideWhenUsed/>
    <w:qFormat/>
    <w:uiPriority w:val="99"/>
    <w:rPr>
      <w:sz w:val="21"/>
      <w:szCs w:val="21"/>
    </w:rPr>
  </w:style>
  <w:style w:type="character" w:customStyle="1" w:styleId="11">
    <w:name w:val="页脚 Char"/>
    <w:basedOn w:val="7"/>
    <w:link w:val="5"/>
    <w:qFormat/>
    <w:uiPriority w:val="0"/>
    <w:rPr>
      <w:rFonts w:ascii="Times New Roman" w:hAnsi="Times New Roman" w:eastAsia="黑体" w:cs="Times New Roman"/>
      <w:snapToGrid w:val="0"/>
      <w:kern w:val="0"/>
      <w:sz w:val="18"/>
      <w:szCs w:val="18"/>
    </w:rPr>
  </w:style>
  <w:style w:type="character" w:customStyle="1" w:styleId="12">
    <w:name w:val="批注文字 Char"/>
    <w:basedOn w:val="7"/>
    <w:link w:val="3"/>
    <w:semiHidden/>
    <w:qFormat/>
    <w:uiPriority w:val="99"/>
    <w:rPr>
      <w:rFonts w:ascii="Times New Roman" w:hAnsi="Times New Roman" w:eastAsia="宋体" w:cs="Times New Roman"/>
      <w:szCs w:val="24"/>
    </w:rPr>
  </w:style>
  <w:style w:type="character" w:customStyle="1" w:styleId="13">
    <w:name w:val="批注主题 Char"/>
    <w:basedOn w:val="12"/>
    <w:link w:val="2"/>
    <w:semiHidden/>
    <w:qFormat/>
    <w:uiPriority w:val="99"/>
    <w:rPr>
      <w:rFonts w:ascii="Times New Roman" w:hAnsi="Times New Roman" w:eastAsia="宋体" w:cs="Times New Roman"/>
      <w:b/>
      <w:bCs/>
      <w:szCs w:val="24"/>
    </w:rPr>
  </w:style>
  <w:style w:type="character" w:customStyle="1" w:styleId="14">
    <w:name w:val="批注框文本 Char"/>
    <w:basedOn w:val="7"/>
    <w:link w:val="4"/>
    <w:semiHidden/>
    <w:qFormat/>
    <w:uiPriority w:val="99"/>
    <w:rPr>
      <w:rFonts w:ascii="Times New Roman" w:hAnsi="Times New Roman" w:eastAsia="宋体" w:cs="Times New Roman"/>
      <w:sz w:val="18"/>
      <w:szCs w:val="18"/>
    </w:rPr>
  </w:style>
  <w:style w:type="character" w:customStyle="1" w:styleId="15">
    <w:name w:val="页眉 Char"/>
    <w:basedOn w:val="7"/>
    <w:link w:val="6"/>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1368</Words>
  <Characters>7802</Characters>
  <Lines>65</Lines>
  <Paragraphs>18</Paragraphs>
  <TotalTime>324</TotalTime>
  <ScaleCrop>false</ScaleCrop>
  <LinksUpToDate>false</LinksUpToDate>
  <CharactersWithSpaces>9152</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cp:lastModifiedBy>
  <dcterms:modified xsi:type="dcterms:W3CDTF">2019-11-21T07:49:36Z</dcterms:modified>
  <cp:revision>813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