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hint="eastAsia" w:ascii="黑体" w:hAnsi="黑体" w:eastAsia="黑体"/>
          <w:sz w:val="32"/>
          <w:szCs w:val="32"/>
          <w:lang w:eastAsia="zh-CN"/>
        </w:rPr>
      </w:pPr>
      <w:r>
        <w:rPr>
          <w:rFonts w:hint="eastAsia" w:ascii="黑体" w:hAnsi="黑体" w:eastAsia="黑体"/>
          <w:sz w:val="32"/>
          <w:szCs w:val="32"/>
        </w:rPr>
        <w:t>附件1：</w:t>
      </w:r>
    </w:p>
    <w:p>
      <w:pPr>
        <w:spacing w:line="540" w:lineRule="exact"/>
        <w:rPr>
          <w:rFonts w:ascii="方正小标宋_GBK" w:hAnsi="宋体" w:eastAsia="方正小标宋_GBK"/>
          <w:sz w:val="44"/>
          <w:szCs w:val="44"/>
        </w:rPr>
      </w:pP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2018年度新疆喀什地区泽普县农村合作经济经营管理局部门决算公开说明</w:t>
      </w:r>
    </w:p>
    <w:p>
      <w:pPr>
        <w:spacing w:line="540" w:lineRule="exact"/>
        <w:rPr>
          <w:rFonts w:ascii="仿宋_GB2312" w:hAnsi="宋体" w:eastAsia="仿宋_GB2312"/>
          <w:sz w:val="32"/>
          <w:szCs w:val="32"/>
        </w:rPr>
      </w:pPr>
    </w:p>
    <w:p>
      <w:pPr>
        <w:spacing w:line="540" w:lineRule="exact"/>
        <w:jc w:val="center"/>
        <w:rPr>
          <w:rFonts w:ascii="黑体" w:hAnsi="黑体" w:eastAsia="黑体"/>
          <w:bCs/>
          <w:kern w:val="0"/>
          <w:sz w:val="32"/>
          <w:szCs w:val="32"/>
        </w:rPr>
      </w:pPr>
      <w:r>
        <w:rPr>
          <w:rFonts w:hint="eastAsia" w:ascii="黑体" w:hAnsi="黑体" w:eastAsia="黑体"/>
          <w:bCs/>
          <w:kern w:val="0"/>
          <w:sz w:val="32"/>
          <w:szCs w:val="32"/>
        </w:rPr>
        <w:t>目</w:t>
      </w:r>
      <w:r>
        <w:rPr>
          <w:rFonts w:hint="eastAsia" w:ascii="黑体" w:hAnsi="黑体" w:eastAsia="黑体"/>
          <w:bCs/>
          <w:kern w:val="0"/>
          <w:sz w:val="32"/>
          <w:szCs w:val="32"/>
          <w:lang w:val="en-US" w:eastAsia="zh-CN"/>
        </w:rPr>
        <w:t xml:space="preserve"> </w:t>
      </w:r>
      <w:r>
        <w:rPr>
          <w:rFonts w:hint="eastAsia" w:ascii="黑体" w:hAnsi="黑体" w:eastAsia="黑体"/>
          <w:bCs/>
          <w:kern w:val="0"/>
          <w:sz w:val="32"/>
          <w:szCs w:val="32"/>
        </w:rPr>
        <w:t>录</w:t>
      </w:r>
    </w:p>
    <w:p>
      <w:pPr>
        <w:spacing w:line="540" w:lineRule="exact"/>
        <w:rPr>
          <w:rFonts w:ascii="仿宋_GB2312" w:hAnsi="宋体" w:eastAsia="仿宋_GB2312"/>
          <w:b/>
          <w:kern w:val="0"/>
          <w:sz w:val="32"/>
          <w:szCs w:val="32"/>
        </w:rPr>
      </w:pP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第一部分部门单位概况</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第二部分部门决算情况说明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（二）一般公共预算收支决算情况说明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40" w:lineRule="exact"/>
        <w:ind w:firstLine="640" w:firstLineChars="200"/>
        <w:rPr>
          <w:rFonts w:ascii="仿宋_GB2312" w:eastAsia="仿宋_GB2312"/>
          <w:sz w:val="32"/>
          <w:szCs w:val="32"/>
        </w:rPr>
      </w:pPr>
      <w:bookmarkStart w:id="0" w:name="OLE_LINK94"/>
      <w:bookmarkStart w:id="1" w:name="OLE_LINK95"/>
      <w:r>
        <w:rPr>
          <w:rFonts w:hint="eastAsia" w:ascii="仿宋_GB2312" w:eastAsia="仿宋_GB2312"/>
          <w:sz w:val="32"/>
          <w:szCs w:val="32"/>
        </w:rPr>
        <w:t>（一）国有资产占用情况说明</w:t>
      </w:r>
      <w:bookmarkEnd w:id="0"/>
      <w:bookmarkEnd w:id="1"/>
    </w:p>
    <w:p>
      <w:pPr>
        <w:spacing w:line="540" w:lineRule="exact"/>
        <w:ind w:firstLine="640" w:firstLineChars="200"/>
        <w:rPr>
          <w:rFonts w:ascii="仿宋_GB2312" w:eastAsia="仿宋_GB2312"/>
          <w:sz w:val="32"/>
          <w:szCs w:val="32"/>
        </w:rPr>
      </w:pPr>
      <w:bookmarkStart w:id="2" w:name="OLE_LINK96"/>
      <w:r>
        <w:rPr>
          <w:rFonts w:hint="eastAsia" w:ascii="仿宋_GB2312" w:eastAsia="仿宋_GB2312"/>
          <w:sz w:val="32"/>
          <w:szCs w:val="32"/>
        </w:rPr>
        <w:t>（二）预算绩效情况的说明</w:t>
      </w:r>
      <w:bookmarkEnd w:id="2"/>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第三部分专业名词解释</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第四部分部</w:t>
      </w:r>
      <w:r>
        <w:rPr>
          <w:rFonts w:hint="eastAsia" w:ascii="黑体" w:hAnsi="黑体" w:eastAsia="黑体"/>
          <w:sz w:val="32"/>
          <w:szCs w:val="32"/>
        </w:rPr>
        <w:t>门决算公开的8张报表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《一般公共预算财政拨款“三公”经费支出决算表》</w:t>
      </w:r>
    </w:p>
    <w:p>
      <w:pPr>
        <w:spacing w:line="540" w:lineRule="exact"/>
        <w:ind w:firstLine="640" w:firstLineChars="200"/>
        <w:rPr>
          <w:rFonts w:ascii="仿宋_GB2312" w:hAnsi="宋体" w:eastAsia="仿宋_GB2312"/>
          <w:sz w:val="32"/>
          <w:szCs w:val="32"/>
        </w:rPr>
      </w:pPr>
      <w:r>
        <w:rPr>
          <w:rFonts w:hint="eastAsia" w:ascii="仿宋_GB2312" w:eastAsia="仿宋_GB2312"/>
          <w:sz w:val="32"/>
          <w:szCs w:val="32"/>
        </w:rPr>
        <w:t>《政府性基金预算财政拨款收入支出决算表》</w:t>
      </w:r>
    </w:p>
    <w:p>
      <w:pPr>
        <w:spacing w:line="540" w:lineRule="exact"/>
        <w:ind w:firstLine="640" w:firstLineChars="200"/>
        <w:rPr>
          <w:rFonts w:ascii="黑体" w:hAnsi="黑体" w:eastAsia="黑体"/>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第一部分部门单位概况</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spacing w:line="500" w:lineRule="exact"/>
        <w:ind w:firstLine="640" w:firstLineChars="200"/>
        <w:rPr>
          <w:rFonts w:hint="eastAsia" w:ascii="黑体" w:hAnsi="黑体" w:eastAsia="仿宋_GB2312" w:cs="宋体"/>
          <w:bCs/>
          <w:kern w:val="0"/>
          <w:sz w:val="32"/>
          <w:szCs w:val="32"/>
          <w:lang w:eastAsia="zh-CN"/>
        </w:rPr>
      </w:pPr>
      <w:r>
        <w:rPr>
          <w:rFonts w:hint="eastAsia" w:ascii="仿宋_GB2312" w:eastAsia="仿宋_GB2312"/>
          <w:sz w:val="32"/>
          <w:szCs w:val="32"/>
        </w:rPr>
        <w:t>三大职能。一是行政管理职能，农民负担监督管理、农民土地承包管理、农村集体资产及财务管理、指导农民专业合作经济组织建设，指导农业社会服务体系发展。二是行政执法职能:具体执行《农民负担监督管理条例》《土地承包管理条例》《新疆维吾尔自治区农村集体经济审计条例》、《集体资产管理条例》、《统计法》等法规，三是行政监督职能，具体组织实施和监督检查党在农村各项政策的落实执行情况。</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二、机构设置情况</w:t>
      </w:r>
    </w:p>
    <w:p>
      <w:pPr>
        <w:spacing w:line="540" w:lineRule="exact"/>
        <w:ind w:firstLine="640" w:firstLineChars="200"/>
        <w:rPr>
          <w:rFonts w:ascii="仿宋_GB2312" w:hAnsi="宋体" w:eastAsia="仿宋_GB2312" w:cs="宋体"/>
          <w:kern w:val="0"/>
          <w:sz w:val="32"/>
          <w:szCs w:val="32"/>
        </w:rPr>
      </w:pPr>
      <w:bookmarkStart w:id="3" w:name="OLE_LINK51"/>
      <w:r>
        <w:rPr>
          <w:rFonts w:hint="eastAsia" w:ascii="仿宋_GB2312" w:eastAsia="仿宋_GB2312"/>
          <w:sz w:val="32"/>
          <w:szCs w:val="32"/>
        </w:rPr>
        <w:t>从决算单位构成看，</w:t>
      </w:r>
      <w:r>
        <w:rPr>
          <w:rFonts w:ascii="仿宋_GB2312" w:eastAsia="仿宋_GB2312"/>
          <w:sz w:val="32"/>
          <w:szCs w:val="32"/>
        </w:rPr>
        <w:t>新疆喀什地区泽普县农村合作经济经营管理局</w:t>
      </w:r>
      <w:r>
        <w:rPr>
          <w:rFonts w:hint="eastAsia" w:ascii="仿宋_GB2312" w:eastAsia="仿宋_GB2312"/>
          <w:sz w:val="32"/>
          <w:szCs w:val="32"/>
        </w:rPr>
        <w:t>部门决算包括：</w:t>
      </w:r>
      <w:r>
        <w:rPr>
          <w:rFonts w:ascii="仿宋_GB2312" w:eastAsia="仿宋_GB2312"/>
          <w:sz w:val="32"/>
          <w:szCs w:val="32"/>
        </w:rPr>
        <w:t>新疆喀什地区泽普县农村合作经济经营管理局</w:t>
      </w:r>
      <w:r>
        <w:rPr>
          <w:rFonts w:hint="eastAsia" w:ascii="仿宋_GB2312" w:eastAsia="仿宋_GB2312"/>
          <w:sz w:val="32"/>
          <w:szCs w:val="32"/>
        </w:rPr>
        <w:t>部门本级决算、所属单位决算等。</w:t>
      </w:r>
    </w:p>
    <w:p>
      <w:pPr>
        <w:spacing w:line="540" w:lineRule="exact"/>
        <w:ind w:firstLine="640" w:firstLineChars="200"/>
        <w:rPr>
          <w:rFonts w:ascii="仿宋_GB2312" w:eastAsia="仿宋_GB2312"/>
          <w:spacing w:val="-6"/>
          <w:sz w:val="32"/>
          <w:szCs w:val="32"/>
        </w:rPr>
      </w:pPr>
      <w:r>
        <w:rPr>
          <w:rFonts w:hint="eastAsia" w:ascii="仿宋_GB2312" w:eastAsia="仿宋_GB2312"/>
          <w:sz w:val="32"/>
          <w:szCs w:val="32"/>
        </w:rPr>
        <w:t>纳入</w:t>
      </w:r>
      <w:r>
        <w:rPr>
          <w:rFonts w:ascii="仿宋_GB2312" w:eastAsia="仿宋_GB2312"/>
          <w:sz w:val="32"/>
          <w:szCs w:val="32"/>
        </w:rPr>
        <w:t>新疆喀什地区泽普县农村合作经济经营管理局</w:t>
      </w:r>
      <w:r>
        <w:rPr>
          <w:rFonts w:hint="eastAsia" w:ascii="仿宋_GB2312" w:eastAsia="仿宋_GB2312"/>
          <w:sz w:val="32"/>
          <w:szCs w:val="32"/>
        </w:rPr>
        <w:t>2018年部门决算编制范围的单位名单见下表</w:t>
      </w:r>
      <w:r>
        <w:rPr>
          <w:rFonts w:hint="eastAsia" w:ascii="仿宋_GB2312" w:eastAsia="仿宋_GB2312"/>
          <w:spacing w:val="-6"/>
          <w:sz w:val="32"/>
          <w:szCs w:val="32"/>
        </w:rPr>
        <w:t>：</w:t>
      </w:r>
      <w:bookmarkEnd w:id="3"/>
    </w:p>
    <w:p>
      <w:pPr>
        <w:spacing w:line="540" w:lineRule="exact"/>
        <w:ind w:firstLine="616" w:firstLineChars="200"/>
        <w:rPr>
          <w:rFonts w:ascii="仿宋_GB2312" w:eastAsia="仿宋_GB2312"/>
          <w:spacing w:val="-6"/>
          <w:sz w:val="32"/>
          <w:szCs w:val="32"/>
        </w:rPr>
      </w:pPr>
    </w:p>
    <w:p>
      <w:pPr>
        <w:spacing w:line="540" w:lineRule="exact"/>
        <w:ind w:firstLine="616" w:firstLineChars="200"/>
        <w:rPr>
          <w:rFonts w:ascii="仿宋_GB2312" w:eastAsia="仿宋_GB2312"/>
          <w:spacing w:val="-6"/>
          <w:sz w:val="32"/>
          <w:szCs w:val="32"/>
        </w:rPr>
      </w:pPr>
    </w:p>
    <w:tbl>
      <w:tblPr>
        <w:tblStyle w:val="7"/>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6"/>
        <w:gridCol w:w="3870"/>
        <w:gridCol w:w="2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3056" w:type="dxa"/>
            <w:vAlign w:val="center"/>
          </w:tcPr>
          <w:p>
            <w:r>
              <w:t>序号</w:t>
            </w:r>
          </w:p>
        </w:tc>
        <w:tc>
          <w:tcPr>
            <w:tcW w:w="3870" w:type="dxa"/>
            <w:vAlign w:val="center"/>
          </w:tcPr>
          <w:p>
            <w:r>
              <w:t>单位名称</w:t>
            </w:r>
          </w:p>
        </w:tc>
        <w:tc>
          <w:tcPr>
            <w:tcW w:w="2538" w:type="dxa"/>
            <w:vAlign w:val="center"/>
          </w:tcPr>
          <w:p>
            <w: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6" w:type="dxa"/>
          </w:tcPr>
          <w:p>
            <w:r>
              <w:t>1</w:t>
            </w:r>
          </w:p>
        </w:tc>
        <w:tc>
          <w:tcPr>
            <w:tcW w:w="3870" w:type="dxa"/>
          </w:tcPr>
          <w:p>
            <w:r>
              <w:t>新疆喀什地区泽普县农村合作经济经营管理局</w:t>
            </w:r>
          </w:p>
        </w:tc>
        <w:tc>
          <w:tcPr>
            <w:tcW w:w="2538" w:type="dxa"/>
            <w:vAlign w:val="center"/>
          </w:tcPr>
          <w:p/>
        </w:tc>
      </w:tr>
    </w:tbl>
    <w:p>
      <w:pPr>
        <w:spacing w:line="500" w:lineRule="exact"/>
        <w:rPr>
          <w:rFonts w:ascii="仿宋_GB2312" w:hAnsi="宋体" w:eastAsia="仿宋_GB2312" w:cs="宋体"/>
          <w:kern w:val="0"/>
          <w:sz w:val="32"/>
          <w:szCs w:val="32"/>
        </w:rPr>
      </w:pPr>
    </w:p>
    <w:p>
      <w:pPr>
        <w:spacing w:line="500" w:lineRule="exact"/>
        <w:rPr>
          <w:rFonts w:ascii="仿宋_GB2312" w:hAnsi="宋体" w:eastAsia="仿宋_GB2312" w:cs="宋体"/>
          <w:kern w:val="0"/>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第二部分部门决算情况说明</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一、部门收支总体情况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（一）部门收入支出决算总体情况说明</w:t>
      </w:r>
    </w:p>
    <w:p>
      <w:pPr>
        <w:spacing w:line="540" w:lineRule="exact"/>
        <w:ind w:firstLine="640" w:firstLineChars="200"/>
        <w:rPr>
          <w:rFonts w:ascii="仿宋_GB2312" w:hAnsi="Calibri" w:eastAsia="仿宋_GB2312"/>
          <w:color w:val="000000" w:themeColor="text1"/>
          <w:sz w:val="32"/>
          <w:szCs w:val="32"/>
          <w:lang w:val="en-GB"/>
        </w:rPr>
      </w:pPr>
      <w:bookmarkStart w:id="4" w:name="OLE_LINK100"/>
      <w:bookmarkStart w:id="5" w:name="OLE_LINK99"/>
      <w:bookmarkStart w:id="6" w:name="OLE_LINK52"/>
      <w:r>
        <w:rPr>
          <w:rFonts w:hint="eastAsia" w:ascii="仿宋_GB2312" w:eastAsia="仿宋_GB2312"/>
          <w:color w:val="000000" w:themeColor="text1"/>
          <w:sz w:val="32"/>
          <w:szCs w:val="32"/>
        </w:rPr>
        <w:t>2018年度收入</w:t>
      </w:r>
      <w:r>
        <w:rPr>
          <w:rFonts w:hint="eastAsia" w:ascii="仿宋_GB2312" w:eastAsia="仿宋_GB2312"/>
          <w:sz w:val="32"/>
          <w:szCs w:val="32"/>
        </w:rPr>
        <w:t>408.4</w:t>
      </w:r>
      <w:r>
        <w:rPr>
          <w:rFonts w:hint="eastAsia" w:ascii="仿宋_GB2312" w:eastAsia="仿宋_GB2312"/>
          <w:color w:val="000000" w:themeColor="text1"/>
          <w:sz w:val="32"/>
          <w:szCs w:val="32"/>
        </w:rPr>
        <w:t>万元</w:t>
      </w:r>
      <w:bookmarkEnd w:id="4"/>
      <w:bookmarkEnd w:id="5"/>
      <w:r>
        <w:rPr>
          <w:rFonts w:hint="eastAsia" w:ascii="仿宋_GB2312" w:eastAsia="仿宋_GB2312"/>
          <w:sz w:val="32"/>
          <w:szCs w:val="32"/>
        </w:rPr>
        <w:t>，与上年相比，减少190.33万元，下降31.79%，减少的主要原因是：2018年度土地确权登记颁证项目资金项目经费减少</w:t>
      </w:r>
      <w:r>
        <w:rPr>
          <w:rFonts w:hint="eastAsia" w:ascii="仿宋_GB2312" w:eastAsia="仿宋_GB2312"/>
          <w:color w:val="000000" w:themeColor="text1"/>
          <w:sz w:val="32"/>
          <w:szCs w:val="32"/>
        </w:rPr>
        <w:t>；</w:t>
      </w:r>
      <w:bookmarkEnd w:id="6"/>
      <w:bookmarkStart w:id="7" w:name="OLE_LINK53"/>
      <w:r>
        <w:rPr>
          <w:rFonts w:hint="eastAsia" w:ascii="仿宋_GB2312" w:eastAsia="仿宋_GB2312"/>
          <w:color w:val="000000" w:themeColor="text1"/>
          <w:sz w:val="32"/>
          <w:szCs w:val="32"/>
        </w:rPr>
        <w:t>支出</w:t>
      </w:r>
      <w:r>
        <w:rPr>
          <w:rFonts w:hint="eastAsia" w:ascii="仿宋_GB2312" w:eastAsia="仿宋_GB2312"/>
          <w:sz w:val="32"/>
          <w:szCs w:val="32"/>
        </w:rPr>
        <w:t>782.64</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，与上年相比，增加323.33万元，增长70.39%，增加的主要原因是：</w:t>
      </w:r>
      <w:r>
        <w:rPr>
          <w:rFonts w:hint="eastAsia" w:ascii="仿宋_GB2312" w:eastAsia="仿宋_GB2312"/>
          <w:color w:val="000000" w:themeColor="text1"/>
          <w:sz w:val="32"/>
          <w:szCs w:val="32"/>
        </w:rPr>
        <w:t>人员工资增加，同时加快2017年结转项目支付力度，2017结转项目农村土地确权登记颁证项目经费支付429.39万元，2018年农村土地确权登记颁证项目经费支付141.1万元，2018年农业产业化服务项目经费12万元；</w:t>
      </w:r>
      <w:bookmarkEnd w:id="7"/>
      <w:bookmarkStart w:id="8" w:name="OLE_LINK54"/>
      <w:r>
        <w:rPr>
          <w:rFonts w:hint="eastAsia" w:ascii="仿宋_GB2312" w:eastAsia="仿宋_GB2312"/>
          <w:color w:val="000000" w:themeColor="text1"/>
          <w:sz w:val="32"/>
          <w:szCs w:val="32"/>
        </w:rPr>
        <w:t>结余</w:t>
      </w:r>
      <w:r>
        <w:rPr>
          <w:rFonts w:hint="eastAsia" w:ascii="仿宋_GB2312" w:eastAsia="仿宋_GB2312"/>
          <w:sz w:val="32"/>
          <w:szCs w:val="32"/>
        </w:rPr>
        <w:t>55.15</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，与上年相比，减少374.24万元，下降87.16%，减少的主要原因是：</w:t>
      </w:r>
      <w:r>
        <w:rPr>
          <w:rFonts w:ascii="仿宋_GB2312" w:eastAsia="仿宋_GB2312"/>
          <w:color w:val="000000" w:themeColor="text1"/>
          <w:sz w:val="32"/>
          <w:szCs w:val="32"/>
        </w:rPr>
        <w:t>2018年加快项目支付进度，2017年度结转农村土地确权登记颁证项目经费项目经费429.39万元，结转资金全部支付完毕。2018年农村土地确权登记颁证项目经费支付141.1万元，结转资金为55万元，作为质保金。</w:t>
      </w:r>
      <w:bookmarkEnd w:id="8"/>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（二）部门收入总体情况说明</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本年收入合计</w:t>
      </w:r>
      <w:r>
        <w:rPr>
          <w:rFonts w:hint="eastAsia" w:ascii="仿宋_GB2312" w:eastAsia="仿宋_GB2312"/>
          <w:sz w:val="32"/>
          <w:szCs w:val="32"/>
        </w:rPr>
        <w:t>408.4</w:t>
      </w:r>
      <w:r>
        <w:rPr>
          <w:rFonts w:hint="eastAsia" w:ascii="仿宋_GB2312" w:eastAsia="仿宋_GB2312"/>
          <w:color w:val="000000" w:themeColor="text1"/>
          <w:sz w:val="32"/>
          <w:szCs w:val="32"/>
        </w:rPr>
        <w:t>万元，其中：</w:t>
      </w:r>
      <w:bookmarkStart w:id="9" w:name="OLE_LINK1"/>
      <w:r>
        <w:rPr>
          <w:rFonts w:hint="eastAsia" w:ascii="仿宋_GB2312" w:eastAsia="仿宋_GB2312"/>
          <w:color w:val="000000" w:themeColor="text1"/>
          <w:sz w:val="32"/>
          <w:szCs w:val="32"/>
        </w:rPr>
        <w:t>财政拨款收入</w:t>
      </w:r>
      <w:bookmarkEnd w:id="9"/>
      <w:r>
        <w:rPr>
          <w:rFonts w:hint="eastAsia" w:ascii="仿宋_GB2312" w:eastAsia="仿宋_GB2312"/>
          <w:sz w:val="32"/>
          <w:szCs w:val="32"/>
        </w:rPr>
        <w:t>408.25</w:t>
      </w:r>
      <w:r>
        <w:rPr>
          <w:rFonts w:hint="eastAsia" w:ascii="仿宋_GB2312" w:eastAsia="仿宋_GB2312"/>
          <w:color w:val="000000" w:themeColor="text1"/>
          <w:sz w:val="32"/>
          <w:szCs w:val="32"/>
        </w:rPr>
        <w:t>万元，占</w:t>
      </w:r>
      <w:r>
        <w:rPr>
          <w:rFonts w:hint="eastAsia" w:ascii="仿宋_GB2312" w:eastAsia="仿宋_GB2312"/>
          <w:sz w:val="32"/>
          <w:szCs w:val="32"/>
        </w:rPr>
        <w:t>99.96%</w:t>
      </w:r>
      <w:r>
        <w:rPr>
          <w:rFonts w:hint="eastAsia" w:ascii="仿宋_GB2312" w:eastAsia="仿宋_GB2312"/>
          <w:color w:val="000000" w:themeColor="text1"/>
          <w:sz w:val="32"/>
          <w:szCs w:val="32"/>
        </w:rPr>
        <w:t>；</w:t>
      </w:r>
      <w:bookmarkStart w:id="10" w:name="OLE_LINK2"/>
      <w:r>
        <w:rPr>
          <w:rFonts w:hint="eastAsia" w:ascii="仿宋_GB2312" w:eastAsia="仿宋_GB2312"/>
          <w:color w:val="000000" w:themeColor="text1"/>
          <w:sz w:val="32"/>
          <w:szCs w:val="32"/>
        </w:rPr>
        <w:t>上级补助收入</w:t>
      </w:r>
      <w:bookmarkEnd w:id="10"/>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1" w:name="OLE_LINK3"/>
      <w:r>
        <w:rPr>
          <w:rFonts w:hint="eastAsia" w:ascii="仿宋_GB2312" w:eastAsia="仿宋_GB2312"/>
          <w:color w:val="000000" w:themeColor="text1"/>
          <w:sz w:val="32"/>
          <w:szCs w:val="32"/>
        </w:rPr>
        <w:t>事业收入</w:t>
      </w:r>
      <w:bookmarkEnd w:id="11"/>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2" w:name="OLE_LINK4"/>
      <w:r>
        <w:rPr>
          <w:rFonts w:hint="eastAsia" w:ascii="仿宋_GB2312" w:eastAsia="仿宋_GB2312"/>
          <w:color w:val="000000" w:themeColor="text1"/>
          <w:sz w:val="32"/>
          <w:szCs w:val="32"/>
        </w:rPr>
        <w:t>经营收入</w:t>
      </w:r>
      <w:bookmarkEnd w:id="1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3" w:name="OLE_LINK5"/>
      <w:r>
        <w:rPr>
          <w:rFonts w:hint="eastAsia" w:ascii="仿宋_GB2312" w:eastAsia="仿宋_GB2312"/>
          <w:color w:val="000000" w:themeColor="text1"/>
          <w:sz w:val="32"/>
          <w:szCs w:val="32"/>
        </w:rPr>
        <w:t>附属单位缴款</w:t>
      </w:r>
      <w:bookmarkEnd w:id="13"/>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4" w:name="OLE_LINK6"/>
      <w:r>
        <w:rPr>
          <w:rFonts w:hint="eastAsia" w:ascii="仿宋_GB2312" w:eastAsia="仿宋_GB2312"/>
          <w:color w:val="000000" w:themeColor="text1"/>
          <w:sz w:val="32"/>
          <w:szCs w:val="32"/>
        </w:rPr>
        <w:t>其他收入</w:t>
      </w:r>
      <w:bookmarkEnd w:id="14"/>
      <w:r>
        <w:rPr>
          <w:rFonts w:hint="eastAsia" w:ascii="仿宋_GB2312" w:eastAsia="仿宋_GB2312"/>
          <w:sz w:val="32"/>
          <w:szCs w:val="32"/>
        </w:rPr>
        <w:t>0.15</w:t>
      </w:r>
      <w:r>
        <w:rPr>
          <w:rFonts w:hint="eastAsia" w:ascii="仿宋_GB2312" w:eastAsia="仿宋_GB2312"/>
          <w:color w:val="000000" w:themeColor="text1"/>
          <w:sz w:val="32"/>
          <w:szCs w:val="32"/>
        </w:rPr>
        <w:t>万元，占</w:t>
      </w:r>
      <w:r>
        <w:rPr>
          <w:rFonts w:hint="eastAsia" w:ascii="仿宋_GB2312" w:eastAsia="仿宋_GB2312"/>
          <w:sz w:val="32"/>
          <w:szCs w:val="32"/>
        </w:rPr>
        <w:t>0.04%</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bookmarkStart w:id="15" w:name="OLE_LINK55"/>
      <w:r>
        <w:rPr>
          <w:rFonts w:hint="eastAsia" w:ascii="仿宋_GB2312" w:eastAsia="仿宋_GB2312"/>
          <w:sz w:val="32"/>
          <w:szCs w:val="32"/>
        </w:rPr>
        <w:t>与年初预算数相比情</w:t>
      </w:r>
      <w:r>
        <w:rPr>
          <w:rFonts w:hint="eastAsia" w:ascii="仿宋_GB2312" w:eastAsia="仿宋_GB2312"/>
          <w:color w:val="000000" w:themeColor="text1"/>
          <w:sz w:val="32"/>
          <w:szCs w:val="32"/>
        </w:rPr>
        <w:t>况：本年收入年初预算数178.22万元</w:t>
      </w:r>
      <w:r>
        <w:rPr>
          <w:rFonts w:hint="eastAsia" w:ascii="仿宋_GB2312" w:eastAsia="仿宋_GB2312"/>
          <w:sz w:val="32"/>
          <w:szCs w:val="32"/>
        </w:rPr>
        <w:t>，决算数408.4万元</w:t>
      </w:r>
      <w:r>
        <w:rPr>
          <w:rFonts w:ascii="仿宋_GB2312" w:eastAsia="仿宋_GB2312"/>
          <w:sz w:val="32"/>
          <w:szCs w:val="32"/>
        </w:rPr>
        <w:t>，预决算差异率129.15%，差异主要原因是</w:t>
      </w:r>
      <w:r>
        <w:rPr>
          <w:rFonts w:hint="eastAsia" w:ascii="仿宋_GB2312" w:eastAsia="仿宋_GB2312"/>
          <w:sz w:val="32"/>
          <w:szCs w:val="32"/>
          <w:lang w:val="en-US" w:eastAsia="zh-CN"/>
        </w:rPr>
        <w:t>:</w:t>
      </w:r>
      <w:r>
        <w:rPr>
          <w:rFonts w:ascii="仿宋_GB2312" w:eastAsia="仿宋_GB2312"/>
          <w:sz w:val="32"/>
          <w:szCs w:val="32"/>
        </w:rPr>
        <w:t>2018年项目资金拨付力度较大。</w:t>
      </w:r>
      <w:bookmarkEnd w:id="15"/>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（三）部门支出总体情况说明</w:t>
      </w:r>
    </w:p>
    <w:p>
      <w:pPr>
        <w:spacing w:line="540" w:lineRule="exact"/>
        <w:ind w:firstLine="640" w:firstLineChars="200"/>
        <w:rPr>
          <w:rFonts w:ascii="仿宋_GB2312" w:eastAsia="仿宋_GB2312"/>
          <w:color w:val="000000" w:themeColor="text1"/>
          <w:spacing w:val="-6"/>
          <w:sz w:val="32"/>
          <w:szCs w:val="32"/>
        </w:rPr>
      </w:pPr>
      <w:bookmarkStart w:id="16" w:name="OLE_LINK7"/>
      <w:r>
        <w:rPr>
          <w:rFonts w:hint="eastAsia" w:ascii="仿宋_GB2312" w:eastAsia="仿宋_GB2312"/>
          <w:color w:val="000000" w:themeColor="text1"/>
          <w:sz w:val="32"/>
          <w:szCs w:val="32"/>
        </w:rPr>
        <w:t>本年支出合计</w:t>
      </w:r>
      <w:bookmarkEnd w:id="16"/>
      <w:r>
        <w:rPr>
          <w:rFonts w:hint="eastAsia" w:ascii="仿宋_GB2312" w:eastAsia="仿宋_GB2312"/>
          <w:sz w:val="32"/>
          <w:szCs w:val="32"/>
        </w:rPr>
        <w:t>782.64</w:t>
      </w:r>
      <w:r>
        <w:rPr>
          <w:rFonts w:hint="eastAsia" w:ascii="仿宋_GB2312" w:eastAsia="仿宋_GB2312"/>
          <w:color w:val="000000" w:themeColor="text1"/>
          <w:sz w:val="32"/>
          <w:szCs w:val="32"/>
        </w:rPr>
        <w:t>万元，其中：</w:t>
      </w:r>
      <w:bookmarkStart w:id="17" w:name="OLE_LINK8"/>
      <w:r>
        <w:rPr>
          <w:rFonts w:hint="eastAsia" w:ascii="仿宋_GB2312" w:eastAsia="仿宋_GB2312"/>
          <w:color w:val="000000" w:themeColor="text1"/>
          <w:sz w:val="32"/>
          <w:szCs w:val="32"/>
        </w:rPr>
        <w:t>基本支出</w:t>
      </w:r>
      <w:bookmarkEnd w:id="17"/>
      <w:r>
        <w:rPr>
          <w:rFonts w:hint="eastAsia" w:ascii="仿宋_GB2312" w:eastAsia="仿宋_GB2312"/>
          <w:sz w:val="32"/>
          <w:szCs w:val="32"/>
        </w:rPr>
        <w:t>200.15</w:t>
      </w:r>
      <w:r>
        <w:rPr>
          <w:rFonts w:hint="eastAsia" w:ascii="仿宋_GB2312" w:eastAsia="仿宋_GB2312"/>
          <w:color w:val="000000" w:themeColor="text1"/>
          <w:sz w:val="32"/>
          <w:szCs w:val="32"/>
        </w:rPr>
        <w:t>万元，占</w:t>
      </w:r>
      <w:r>
        <w:rPr>
          <w:rFonts w:hint="eastAsia" w:ascii="仿宋_GB2312" w:eastAsia="仿宋_GB2312"/>
          <w:sz w:val="32"/>
          <w:szCs w:val="32"/>
        </w:rPr>
        <w:t>25.57%</w:t>
      </w:r>
      <w:r>
        <w:rPr>
          <w:rFonts w:hint="eastAsia" w:ascii="仿宋_GB2312" w:eastAsia="仿宋_GB2312"/>
          <w:color w:val="000000" w:themeColor="text1"/>
          <w:sz w:val="32"/>
          <w:szCs w:val="32"/>
        </w:rPr>
        <w:t>；</w:t>
      </w:r>
      <w:bookmarkStart w:id="18" w:name="OLE_LINK9"/>
      <w:r>
        <w:rPr>
          <w:rFonts w:hint="eastAsia" w:ascii="仿宋_GB2312" w:eastAsia="仿宋_GB2312"/>
          <w:color w:val="000000" w:themeColor="text1"/>
          <w:sz w:val="32"/>
          <w:szCs w:val="32"/>
        </w:rPr>
        <w:t>项目支出</w:t>
      </w:r>
      <w:bookmarkEnd w:id="18"/>
      <w:r>
        <w:rPr>
          <w:rFonts w:hint="eastAsia" w:ascii="仿宋_GB2312" w:eastAsia="仿宋_GB2312"/>
          <w:sz w:val="32"/>
          <w:szCs w:val="32"/>
        </w:rPr>
        <w:t>582.49</w:t>
      </w:r>
      <w:r>
        <w:rPr>
          <w:rFonts w:hint="eastAsia" w:ascii="仿宋_GB2312" w:eastAsia="仿宋_GB2312"/>
          <w:color w:val="000000" w:themeColor="text1"/>
          <w:sz w:val="32"/>
          <w:szCs w:val="32"/>
        </w:rPr>
        <w:t>万元，占</w:t>
      </w:r>
      <w:r>
        <w:rPr>
          <w:rFonts w:hint="eastAsia" w:ascii="仿宋_GB2312" w:eastAsia="仿宋_GB2312"/>
          <w:sz w:val="32"/>
          <w:szCs w:val="32"/>
        </w:rPr>
        <w:t>74.43%</w:t>
      </w:r>
      <w:r>
        <w:rPr>
          <w:rFonts w:hint="eastAsia" w:ascii="仿宋_GB2312" w:eastAsia="仿宋_GB2312"/>
          <w:color w:val="000000" w:themeColor="text1"/>
          <w:sz w:val="32"/>
          <w:szCs w:val="32"/>
        </w:rPr>
        <w:t>；</w:t>
      </w:r>
      <w:bookmarkStart w:id="19" w:name="OLE_LINK10"/>
      <w:r>
        <w:rPr>
          <w:rFonts w:hint="eastAsia" w:ascii="仿宋_GB2312" w:eastAsia="仿宋_GB2312"/>
          <w:color w:val="000000" w:themeColor="text1"/>
          <w:sz w:val="32"/>
          <w:szCs w:val="32"/>
        </w:rPr>
        <w:t>上缴上级支出</w:t>
      </w:r>
      <w:bookmarkEnd w:id="1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20" w:name="OLE_LINK11"/>
      <w:r>
        <w:rPr>
          <w:rFonts w:hint="eastAsia" w:ascii="仿宋_GB2312" w:eastAsia="仿宋_GB2312"/>
          <w:color w:val="000000" w:themeColor="text1"/>
          <w:spacing w:val="-6"/>
          <w:sz w:val="32"/>
          <w:szCs w:val="32"/>
        </w:rPr>
        <w:t>经营支出</w:t>
      </w:r>
      <w:bookmarkEnd w:id="20"/>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color w:val="000000" w:themeColor="text1"/>
          <w:spacing w:val="-6"/>
          <w:sz w:val="32"/>
          <w:szCs w:val="32"/>
        </w:rPr>
        <w:t>；</w:t>
      </w:r>
      <w:bookmarkStart w:id="21" w:name="OLE_LINK12"/>
      <w:r>
        <w:rPr>
          <w:rFonts w:hint="eastAsia" w:ascii="仿宋_GB2312" w:eastAsia="仿宋_GB2312"/>
          <w:color w:val="000000" w:themeColor="text1"/>
          <w:spacing w:val="-6"/>
          <w:sz w:val="32"/>
          <w:szCs w:val="32"/>
        </w:rPr>
        <w:t>对附属单位补助支出</w:t>
      </w:r>
      <w:bookmarkEnd w:id="21"/>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p>
    <w:p>
      <w:pPr>
        <w:spacing w:line="540" w:lineRule="exact"/>
        <w:ind w:firstLine="640" w:firstLineChars="200"/>
        <w:rPr>
          <w:rFonts w:ascii="仿宋_GB2312" w:eastAsia="仿宋_GB2312"/>
          <w:sz w:val="32"/>
          <w:szCs w:val="32"/>
        </w:rPr>
      </w:pPr>
      <w:bookmarkStart w:id="22" w:name="OLE_LINK56"/>
      <w:r>
        <w:rPr>
          <w:rFonts w:hint="eastAsia" w:ascii="仿宋_GB2312" w:eastAsia="仿宋_GB2312"/>
          <w:color w:val="000000" w:themeColor="text1"/>
          <w:sz w:val="32"/>
          <w:szCs w:val="32"/>
        </w:rPr>
        <w:t>与年初预算数相比情况：本年支出年初预算数178.22万元，</w:t>
      </w:r>
      <w:r>
        <w:rPr>
          <w:rFonts w:hint="eastAsia" w:ascii="仿宋_GB2312" w:eastAsia="仿宋_GB2312"/>
          <w:sz w:val="32"/>
          <w:szCs w:val="32"/>
        </w:rPr>
        <w:t>决算数782.64万元</w:t>
      </w:r>
      <w:r>
        <w:rPr>
          <w:rFonts w:ascii="仿宋_GB2312" w:eastAsia="仿宋_GB2312"/>
          <w:sz w:val="32"/>
          <w:szCs w:val="32"/>
        </w:rPr>
        <w:t>，预决算差异率339.14%，差异主要原因是</w:t>
      </w:r>
      <w:r>
        <w:rPr>
          <w:rFonts w:hint="eastAsia" w:ascii="仿宋_GB2312" w:eastAsia="仿宋_GB2312"/>
          <w:sz w:val="32"/>
          <w:szCs w:val="32"/>
          <w:lang w:val="en-US" w:eastAsia="zh-CN"/>
        </w:rPr>
        <w:t>:</w:t>
      </w:r>
      <w:r>
        <w:rPr>
          <w:rFonts w:ascii="仿宋_GB2312" w:eastAsia="仿宋_GB2312"/>
          <w:sz w:val="32"/>
          <w:szCs w:val="32"/>
        </w:rPr>
        <w:t>2018年决算数支付2017结转项目农村土地确权登记颁证项目经费429.39万元，支付2018年农村土地确权登记颁证项目经费支付141.1万元，支付2018年农业产业化服务项目经费12万元。</w:t>
      </w:r>
    </w:p>
    <w:bookmarkEnd w:id="22"/>
    <w:p>
      <w:pPr>
        <w:spacing w:line="540" w:lineRule="exact"/>
        <w:ind w:firstLine="640" w:firstLineChars="200"/>
        <w:rPr>
          <w:rFonts w:ascii="黑体" w:hAnsi="黑体" w:eastAsia="黑体"/>
          <w:sz w:val="32"/>
          <w:szCs w:val="32"/>
        </w:rPr>
      </w:pPr>
      <w:r>
        <w:rPr>
          <w:rFonts w:hint="eastAsia" w:ascii="黑体" w:hAnsi="黑体" w:eastAsia="黑体"/>
          <w:sz w:val="32"/>
          <w:szCs w:val="32"/>
        </w:rPr>
        <w:t>二、部门财政拨款收支情况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（一）财政拨款收支总体情况说明</w:t>
      </w:r>
    </w:p>
    <w:p>
      <w:pPr>
        <w:spacing w:line="540" w:lineRule="exact"/>
        <w:ind w:firstLine="640" w:firstLineChars="200"/>
        <w:rPr>
          <w:rFonts w:ascii="仿宋_GB2312" w:eastAsia="仿宋_GB2312"/>
          <w:color w:val="000000" w:themeColor="text1"/>
          <w:sz w:val="32"/>
          <w:szCs w:val="32"/>
        </w:rPr>
      </w:pPr>
      <w:bookmarkStart w:id="23" w:name="OLE_LINK58"/>
      <w:bookmarkStart w:id="24" w:name="OLE_LINK57"/>
      <w:r>
        <w:rPr>
          <w:rFonts w:hint="eastAsia" w:ascii="仿宋_GB2312" w:eastAsia="仿宋_GB2312"/>
          <w:color w:val="000000" w:themeColor="text1"/>
          <w:sz w:val="32"/>
          <w:szCs w:val="32"/>
        </w:rPr>
        <w:t>2018年度</w:t>
      </w:r>
      <w:bookmarkStart w:id="25" w:name="OLE_LINK13"/>
      <w:r>
        <w:rPr>
          <w:rFonts w:hint="eastAsia" w:ascii="仿宋_GB2312" w:eastAsia="仿宋_GB2312"/>
          <w:color w:val="000000" w:themeColor="text1"/>
          <w:sz w:val="32"/>
          <w:szCs w:val="32"/>
        </w:rPr>
        <w:t>财政拨款收入</w:t>
      </w:r>
      <w:bookmarkEnd w:id="25"/>
      <w:r>
        <w:rPr>
          <w:rFonts w:hint="eastAsia" w:ascii="仿宋_GB2312" w:eastAsia="仿宋_GB2312"/>
          <w:sz w:val="32"/>
          <w:szCs w:val="32"/>
        </w:rPr>
        <w:t>408.25</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，与上年相比，减少190.48万元，下降31.81%，减少的主要原因是：2018年度土地确权登记颁证项目资金项目经费减少223.82万元。</w:t>
      </w:r>
      <w:bookmarkEnd w:id="23"/>
      <w:bookmarkEnd w:id="24"/>
      <w:bookmarkStart w:id="26" w:name="OLE_LINK14"/>
      <w:bookmarkStart w:id="27" w:name="OLE_LINK59"/>
      <w:bookmarkStart w:id="28" w:name="OLE_LINK60"/>
      <w:r>
        <w:rPr>
          <w:rFonts w:hint="eastAsia" w:ascii="仿宋_GB2312" w:eastAsia="仿宋_GB2312"/>
          <w:color w:val="000000" w:themeColor="text1"/>
          <w:sz w:val="32"/>
          <w:szCs w:val="32"/>
        </w:rPr>
        <w:t>财政拨款支出</w:t>
      </w:r>
      <w:bookmarkEnd w:id="26"/>
      <w:r>
        <w:rPr>
          <w:rFonts w:hint="eastAsia" w:ascii="仿宋_GB2312" w:eastAsia="仿宋_GB2312"/>
          <w:sz w:val="32"/>
          <w:szCs w:val="32"/>
        </w:rPr>
        <w:t>782.64</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，与上年相比，增加323.33万元，增长70.39%，增加的主要原因是：</w:t>
      </w:r>
      <w:r>
        <w:rPr>
          <w:rFonts w:ascii="仿宋_GB2312" w:eastAsia="仿宋_GB2312"/>
          <w:sz w:val="32"/>
          <w:szCs w:val="32"/>
        </w:rPr>
        <w:t>人员工资增加，同时加快2017年结转项目支付力度，2017结转项目农村土地确权登记颁证项目经费支付429.39万元，2018年农村土地确权登记颁证项目经费支付141.1万元，2018年农业产业化服务项目经费12万元。</w:t>
      </w:r>
      <w:bookmarkEnd w:id="27"/>
      <w:bookmarkEnd w:id="28"/>
      <w:bookmarkStart w:id="29" w:name="OLE_LINK61"/>
      <w:r>
        <w:rPr>
          <w:rFonts w:hint="eastAsia" w:ascii="仿宋_GB2312" w:eastAsia="仿宋_GB2312"/>
          <w:color w:val="000000" w:themeColor="text1"/>
          <w:sz w:val="32"/>
          <w:szCs w:val="32"/>
        </w:rPr>
        <w:t>其中：</w:t>
      </w:r>
      <w:bookmarkStart w:id="30" w:name="OLE_LINK15"/>
      <w:r>
        <w:rPr>
          <w:rFonts w:hint="eastAsia" w:ascii="仿宋_GB2312" w:eastAsia="仿宋_GB2312"/>
          <w:color w:val="000000" w:themeColor="text1"/>
          <w:sz w:val="32"/>
          <w:szCs w:val="32"/>
        </w:rPr>
        <w:t>基本支出</w:t>
      </w:r>
      <w:bookmarkEnd w:id="30"/>
      <w:r>
        <w:rPr>
          <w:rFonts w:hint="eastAsia" w:ascii="仿宋_GB2312" w:eastAsia="仿宋_GB2312"/>
          <w:sz w:val="32"/>
          <w:szCs w:val="32"/>
        </w:rPr>
        <w:t>200.15</w:t>
      </w:r>
      <w:r>
        <w:rPr>
          <w:rFonts w:hint="eastAsia" w:ascii="仿宋_GB2312" w:eastAsia="仿宋_GB2312"/>
          <w:color w:val="000000" w:themeColor="text1"/>
          <w:sz w:val="32"/>
          <w:szCs w:val="32"/>
        </w:rPr>
        <w:t>万元，项目支出</w:t>
      </w:r>
      <w:r>
        <w:rPr>
          <w:rFonts w:hint="eastAsia" w:ascii="仿宋_GB2312" w:eastAsia="仿宋_GB2312"/>
          <w:sz w:val="32"/>
          <w:szCs w:val="32"/>
        </w:rPr>
        <w:t>582.49</w:t>
      </w:r>
      <w:r>
        <w:rPr>
          <w:rFonts w:hint="eastAsia" w:ascii="仿宋_GB2312" w:eastAsia="仿宋_GB2312"/>
          <w:color w:val="000000" w:themeColor="text1"/>
          <w:sz w:val="32"/>
          <w:szCs w:val="32"/>
        </w:rPr>
        <w:t>万元。</w:t>
      </w:r>
      <w:bookmarkStart w:id="31" w:name="OLE_LINK16"/>
      <w:r>
        <w:rPr>
          <w:rFonts w:hint="eastAsia" w:ascii="仿宋_GB2312" w:eastAsia="仿宋_GB2312"/>
          <w:color w:val="000000" w:themeColor="text1"/>
          <w:sz w:val="32"/>
          <w:szCs w:val="32"/>
        </w:rPr>
        <w:t>财政拨款结转结余</w:t>
      </w:r>
      <w:bookmarkEnd w:id="31"/>
      <w:r>
        <w:rPr>
          <w:rFonts w:hint="eastAsia" w:ascii="仿宋_GB2312" w:eastAsia="仿宋_GB2312"/>
          <w:sz w:val="32"/>
          <w:szCs w:val="32"/>
        </w:rPr>
        <w:t>55</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374.39万元，下降87.19%，减少的主要原因是：加快2017年结转项目支付力度，2017年度结转农村土地确权登记颁证项目经费429.39万元，结转资金全部支付完毕。2018年农村土地确权登记颁证项目经费支付141.1万元，结转资金为55万元，作为质保金。</w:t>
      </w:r>
      <w:bookmarkEnd w:id="29"/>
    </w:p>
    <w:p>
      <w:pPr>
        <w:spacing w:line="540" w:lineRule="exact"/>
        <w:ind w:firstLine="640" w:firstLineChars="200"/>
        <w:rPr>
          <w:rFonts w:ascii="仿宋_GB2312" w:eastAsia="仿宋_GB2312"/>
          <w:color w:val="000000" w:themeColor="text1"/>
          <w:sz w:val="32"/>
          <w:szCs w:val="32"/>
        </w:rPr>
      </w:pPr>
      <w:bookmarkStart w:id="32" w:name="OLE_LINK62"/>
      <w:r>
        <w:rPr>
          <w:rFonts w:hint="eastAsia" w:ascii="仿宋_GB2312" w:eastAsia="仿宋_GB2312"/>
          <w:color w:val="000000" w:themeColor="text1"/>
          <w:sz w:val="32"/>
          <w:szCs w:val="32"/>
        </w:rPr>
        <w:t>与年初预算数相比情况：财政拨款收入年初预算数</w:t>
      </w:r>
      <w:r>
        <w:rPr>
          <w:rFonts w:ascii="仿宋_GB2312" w:eastAsia="仿宋_GB2312"/>
          <w:color w:val="000000" w:themeColor="text1"/>
          <w:sz w:val="32"/>
          <w:szCs w:val="32"/>
        </w:rPr>
        <w:t>178.22</w:t>
      </w:r>
      <w:r>
        <w:rPr>
          <w:rFonts w:hint="eastAsia" w:ascii="仿宋_GB2312" w:eastAsia="仿宋_GB2312"/>
          <w:color w:val="000000" w:themeColor="text1"/>
          <w:sz w:val="32"/>
          <w:szCs w:val="32"/>
        </w:rPr>
        <w:t>万元，决算数</w:t>
      </w:r>
      <w:r>
        <w:rPr>
          <w:rFonts w:hint="eastAsia" w:ascii="仿宋_GB2312" w:eastAsia="仿宋_GB2312"/>
          <w:sz w:val="32"/>
          <w:szCs w:val="32"/>
        </w:rPr>
        <w:t>408.25</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，预决算差异率129.07%，差异主要原因是</w:t>
      </w:r>
      <w:r>
        <w:rPr>
          <w:rFonts w:hint="eastAsia" w:ascii="仿宋_GB2312" w:eastAsia="仿宋_GB2312"/>
          <w:color w:val="000000" w:themeColor="text1"/>
          <w:sz w:val="32"/>
          <w:szCs w:val="32"/>
          <w:lang w:val="en-US" w:eastAsia="zh-CN"/>
        </w:rPr>
        <w:t>:</w:t>
      </w:r>
      <w:r>
        <w:rPr>
          <w:rFonts w:ascii="仿宋_GB2312" w:eastAsia="仿宋_GB2312"/>
          <w:color w:val="000000" w:themeColor="text1"/>
          <w:sz w:val="32"/>
          <w:szCs w:val="32"/>
        </w:rPr>
        <w:t>2018年增加农村土地确权登记颁证项目经费196.1万元，农业产业化服务项目经费12万元。</w:t>
      </w:r>
      <w:bookmarkEnd w:id="32"/>
      <w:bookmarkStart w:id="33" w:name="OLE_LINK63"/>
      <w:r>
        <w:rPr>
          <w:rFonts w:hint="eastAsia" w:ascii="仿宋_GB2312" w:eastAsia="仿宋_GB2312"/>
          <w:color w:val="000000" w:themeColor="text1"/>
          <w:sz w:val="32"/>
          <w:szCs w:val="32"/>
        </w:rPr>
        <w:t>财政拨款支出年初预算数</w:t>
      </w:r>
      <w:r>
        <w:rPr>
          <w:rFonts w:ascii="仿宋_GB2312" w:eastAsia="仿宋_GB2312"/>
          <w:color w:val="000000" w:themeColor="text1"/>
          <w:sz w:val="32"/>
          <w:szCs w:val="32"/>
        </w:rPr>
        <w:t>178.22</w:t>
      </w:r>
      <w:r>
        <w:rPr>
          <w:rFonts w:hint="eastAsia" w:ascii="仿宋_GB2312" w:eastAsia="仿宋_GB2312"/>
          <w:color w:val="000000" w:themeColor="text1"/>
          <w:sz w:val="32"/>
          <w:szCs w:val="32"/>
        </w:rPr>
        <w:t>万元，决算数</w:t>
      </w:r>
      <w:r>
        <w:rPr>
          <w:rFonts w:hint="eastAsia" w:ascii="仿宋_GB2312" w:eastAsia="仿宋_GB2312"/>
          <w:sz w:val="32"/>
          <w:szCs w:val="32"/>
        </w:rPr>
        <w:t>782.64</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，预决算差异率339.14%，差异主要原因是</w:t>
      </w:r>
      <w:r>
        <w:rPr>
          <w:rFonts w:hint="eastAsia" w:ascii="仿宋_GB2312" w:eastAsia="仿宋_GB2312"/>
          <w:color w:val="000000" w:themeColor="text1"/>
          <w:sz w:val="32"/>
          <w:szCs w:val="32"/>
          <w:lang w:val="en-US" w:eastAsia="zh-CN"/>
        </w:rPr>
        <w:t>:</w:t>
      </w:r>
      <w:r>
        <w:rPr>
          <w:rFonts w:ascii="仿宋_GB2312" w:eastAsia="仿宋_GB2312"/>
          <w:color w:val="000000" w:themeColor="text1"/>
          <w:sz w:val="32"/>
          <w:szCs w:val="32"/>
        </w:rPr>
        <w:t>2018年决算数支付2017结转项目农村土地确权登记颁证项目经费429.39万元，结转资金全部支付完毕。</w:t>
      </w:r>
      <w:bookmarkEnd w:id="33"/>
      <w:bookmarkStart w:id="92" w:name="_GoBack"/>
      <w:bookmarkEnd w:id="92"/>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（二）一般公共预算收支决算情况说明</w:t>
      </w:r>
    </w:p>
    <w:p>
      <w:pPr>
        <w:spacing w:line="540" w:lineRule="exact"/>
        <w:ind w:firstLine="640" w:firstLineChars="200"/>
        <w:rPr>
          <w:rFonts w:ascii="仿宋_GB2312" w:eastAsia="仿宋_GB2312"/>
          <w:color w:val="000000" w:themeColor="text1"/>
          <w:sz w:val="32"/>
          <w:szCs w:val="32"/>
        </w:rPr>
      </w:pPr>
      <w:bookmarkStart w:id="34" w:name="OLE_LINK64"/>
      <w:r>
        <w:rPr>
          <w:rFonts w:hint="eastAsia" w:ascii="仿宋_GB2312" w:eastAsia="仿宋_GB2312"/>
          <w:color w:val="000000" w:themeColor="text1"/>
          <w:sz w:val="32"/>
          <w:szCs w:val="32"/>
        </w:rPr>
        <w:t>2018年度</w:t>
      </w:r>
      <w:bookmarkStart w:id="35" w:name="OLE_LINK17"/>
      <w:r>
        <w:rPr>
          <w:rFonts w:hint="eastAsia" w:ascii="仿宋_GB2312" w:eastAsia="仿宋_GB2312"/>
          <w:color w:val="000000" w:themeColor="text1"/>
          <w:sz w:val="32"/>
          <w:szCs w:val="32"/>
        </w:rPr>
        <w:t>一般公共预算财政拨款收入</w:t>
      </w:r>
      <w:bookmarkEnd w:id="35"/>
      <w:r>
        <w:rPr>
          <w:rFonts w:ascii="仿宋_GB2312" w:eastAsia="仿宋_GB2312"/>
          <w:color w:val="000000" w:themeColor="text1"/>
          <w:sz w:val="32"/>
          <w:szCs w:val="32"/>
        </w:rPr>
        <w:t>408.25</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，与上年相比，减少190.48万元，下降31.81%，减少的主要原因是：2018年度农村土地确权登记颁证项目经费减少223.82万元。</w:t>
      </w:r>
      <w:bookmarkEnd w:id="34"/>
      <w:bookmarkStart w:id="36" w:name="OLE_LINK18"/>
      <w:bookmarkStart w:id="37" w:name="OLE_LINK65"/>
      <w:r>
        <w:rPr>
          <w:rFonts w:hint="eastAsia" w:ascii="仿宋_GB2312" w:eastAsia="仿宋_GB2312"/>
          <w:color w:val="000000" w:themeColor="text1"/>
          <w:sz w:val="32"/>
          <w:szCs w:val="32"/>
        </w:rPr>
        <w:t>一般公共预算财政拨款支出</w:t>
      </w:r>
      <w:r>
        <w:rPr>
          <w:rFonts w:hint="eastAsia" w:ascii="仿宋_GB2312" w:eastAsia="仿宋_GB2312"/>
          <w:sz w:val="32"/>
          <w:szCs w:val="32"/>
        </w:rPr>
        <w:t>782.64</w:t>
      </w:r>
      <w:r>
        <w:rPr>
          <w:rFonts w:hint="eastAsia" w:ascii="仿宋_GB2312" w:eastAsia="仿宋_GB2312"/>
          <w:color w:val="000000" w:themeColor="text1"/>
          <w:sz w:val="32"/>
          <w:szCs w:val="32"/>
        </w:rPr>
        <w:t>万元</w:t>
      </w:r>
      <w:bookmarkEnd w:id="36"/>
      <w:r>
        <w:rPr>
          <w:rFonts w:hint="eastAsia" w:ascii="仿宋_GB2312" w:eastAsia="仿宋_GB2312"/>
          <w:sz w:val="32"/>
          <w:szCs w:val="32"/>
        </w:rPr>
        <w:t>，与上年相比，增加323.33万元，增长70.39%，增加的主要原因是：人员工资增加，同时加快2017年结转项目支付力度，2017结转项目农村土地确权登记颁证项目经费支付429.39万元，2018年农村土地确权登记颁证项目经费支付141.1万元，2018年农业产业化服务项目经费12万元。</w:t>
      </w:r>
      <w:bookmarkEnd w:id="37"/>
      <w:r>
        <w:rPr>
          <w:rFonts w:hint="eastAsia" w:ascii="仿宋_GB2312" w:eastAsia="仿宋_GB2312"/>
          <w:color w:val="000000" w:themeColor="text1"/>
          <w:sz w:val="32"/>
          <w:szCs w:val="32"/>
        </w:rPr>
        <w:t>其中：</w:t>
      </w:r>
      <w:bookmarkStart w:id="38" w:name="OLE_LINK19"/>
      <w:r>
        <w:rPr>
          <w:rFonts w:hint="eastAsia" w:ascii="仿宋_GB2312" w:eastAsia="仿宋_GB2312"/>
          <w:color w:val="000000" w:themeColor="text1"/>
          <w:sz w:val="32"/>
          <w:szCs w:val="32"/>
        </w:rPr>
        <w:t>按功能分类科目（按类级科目公开）</w:t>
      </w:r>
      <w:bookmarkEnd w:id="38"/>
      <w:r>
        <w:rPr>
          <w:rFonts w:hint="eastAsia" w:ascii="仿宋_GB2312" w:eastAsia="仿宋_GB2312"/>
          <w:color w:val="000000" w:themeColor="text1"/>
          <w:sz w:val="32"/>
          <w:szCs w:val="32"/>
        </w:rPr>
        <w:t>，</w:t>
      </w:r>
      <w:r>
        <w:rPr>
          <w:rFonts w:hint="eastAsia" w:ascii="仿宋_GB2312" w:eastAsia="仿宋_GB2312"/>
          <w:sz w:val="32"/>
          <w:szCs w:val="32"/>
        </w:rPr>
        <w:t>住房保障支出12.62万元,农林水支出750.56万元,社会保障和就业支出19.46万元。</w:t>
      </w:r>
      <w:bookmarkStart w:id="39" w:name="OLE_LINK20"/>
      <w:bookmarkStart w:id="40" w:name="OLE_LINK21"/>
      <w:r>
        <w:rPr>
          <w:rFonts w:hint="eastAsia" w:ascii="仿宋_GB2312" w:eastAsia="仿宋_GB2312"/>
          <w:color w:val="000000" w:themeColor="text1"/>
          <w:sz w:val="32"/>
          <w:szCs w:val="32"/>
        </w:rPr>
        <w:t>按经济分类科目</w:t>
      </w:r>
      <w:bookmarkEnd w:id="39"/>
      <w:r>
        <w:rPr>
          <w:rFonts w:hint="eastAsia" w:ascii="仿宋_GB2312" w:eastAsia="仿宋_GB2312"/>
          <w:color w:val="000000" w:themeColor="text1"/>
          <w:sz w:val="32"/>
          <w:szCs w:val="32"/>
        </w:rPr>
        <w:t>（按类级科目公开）</w:t>
      </w:r>
      <w:bookmarkEnd w:id="40"/>
      <w:r>
        <w:rPr>
          <w:rFonts w:hint="eastAsia" w:ascii="仿宋_GB2312" w:eastAsia="仿宋_GB2312"/>
          <w:color w:val="000000" w:themeColor="text1"/>
          <w:sz w:val="32"/>
          <w:szCs w:val="32"/>
        </w:rPr>
        <w:t>，</w:t>
      </w:r>
      <w:r>
        <w:rPr>
          <w:rFonts w:hint="eastAsia" w:ascii="仿宋_GB2312" w:eastAsia="仿宋_GB2312"/>
          <w:sz w:val="32"/>
          <w:szCs w:val="32"/>
        </w:rPr>
        <w:t>工资福利支出173.12万元,商品和服务支出592.9万元,对个人和家庭的补助12.49万元,资本性支出4.13万元。</w:t>
      </w:r>
    </w:p>
    <w:p>
      <w:pPr>
        <w:spacing w:line="540" w:lineRule="exact"/>
        <w:ind w:firstLine="640" w:firstLineChars="200"/>
        <w:rPr>
          <w:rFonts w:ascii="仿宋_GB2312" w:eastAsia="仿宋_GB2312"/>
          <w:color w:val="000000" w:themeColor="text1"/>
          <w:sz w:val="32"/>
          <w:szCs w:val="32"/>
        </w:rPr>
      </w:pPr>
      <w:bookmarkStart w:id="41" w:name="OLE_LINK66"/>
      <w:bookmarkStart w:id="42" w:name="OLE_LINK67"/>
      <w:r>
        <w:rPr>
          <w:rFonts w:hint="eastAsia" w:ascii="仿宋_GB2312" w:eastAsia="仿宋_GB2312"/>
          <w:color w:val="000000" w:themeColor="text1"/>
          <w:sz w:val="32"/>
          <w:szCs w:val="32"/>
        </w:rPr>
        <w:t>与年初预算数相比情况：一般公共预算财政拨款收入年初预算数</w:t>
      </w:r>
      <w:r>
        <w:rPr>
          <w:rFonts w:ascii="仿宋_GB2312" w:eastAsia="仿宋_GB2312"/>
          <w:color w:val="000000" w:themeColor="text1"/>
          <w:sz w:val="32"/>
          <w:szCs w:val="32"/>
        </w:rPr>
        <w:t>178.22</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408.25</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，预决算差异率129.07%，差异主要原因是2018年增加农村土地确权登记颁证项目经费196.1万元，农业产业化服务项目经费12万元。</w:t>
      </w:r>
      <w:bookmarkEnd w:id="41"/>
      <w:bookmarkEnd w:id="42"/>
      <w:bookmarkStart w:id="43" w:name="OLE_LINK68"/>
      <w:r>
        <w:rPr>
          <w:rFonts w:hint="eastAsia" w:ascii="仿宋_GB2312" w:eastAsia="仿宋_GB2312"/>
          <w:color w:val="000000" w:themeColor="text1"/>
          <w:sz w:val="32"/>
          <w:szCs w:val="32"/>
        </w:rPr>
        <w:t>一般公共预算财政拨款支出年初预算数</w:t>
      </w:r>
      <w:r>
        <w:rPr>
          <w:rFonts w:ascii="仿宋_GB2312" w:eastAsia="仿宋_GB2312"/>
          <w:color w:val="000000" w:themeColor="text1"/>
          <w:sz w:val="32"/>
          <w:szCs w:val="32"/>
        </w:rPr>
        <w:t>178.22</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782.64</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，预决算差异率339.14%，差异主要原因是2018年决算数支付2017结转项目农村土地确权登记颁证项目经费429.39万元，结转资金全部支付完毕。</w:t>
      </w:r>
      <w:bookmarkEnd w:id="4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（三）政府性基金预算收支决算情况说明</w:t>
      </w:r>
    </w:p>
    <w:p>
      <w:pPr>
        <w:spacing w:line="540" w:lineRule="exact"/>
        <w:ind w:firstLine="640" w:firstLineChars="200"/>
        <w:rPr>
          <w:rFonts w:ascii="仿宋_GB2312" w:eastAsia="仿宋_GB2312"/>
          <w:color w:val="000000" w:themeColor="text1"/>
          <w:sz w:val="32"/>
          <w:szCs w:val="32"/>
        </w:rPr>
      </w:pPr>
      <w:bookmarkStart w:id="44" w:name="OLE_LINK69"/>
      <w:r>
        <w:rPr>
          <w:rFonts w:hint="eastAsia" w:ascii="仿宋_GB2312" w:eastAsia="仿宋_GB2312"/>
          <w:color w:val="000000" w:themeColor="text1"/>
          <w:sz w:val="32"/>
          <w:szCs w:val="32"/>
        </w:rPr>
        <w:t>2018年度</w:t>
      </w:r>
      <w:bookmarkStart w:id="45" w:name="OLE_LINK22"/>
      <w:r>
        <w:rPr>
          <w:rFonts w:hint="eastAsia" w:ascii="仿宋_GB2312" w:eastAsia="仿宋_GB2312"/>
          <w:color w:val="000000" w:themeColor="text1"/>
          <w:sz w:val="32"/>
          <w:szCs w:val="32"/>
        </w:rPr>
        <w:t>政府性基金预算财政拨款收入</w:t>
      </w:r>
      <w:bookmarkEnd w:id="4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，与上年相比无变化，主要原因是：2018年度无政府性基金预算财政拨款收入。</w:t>
      </w:r>
      <w:bookmarkEnd w:id="44"/>
      <w:bookmarkStart w:id="46" w:name="OLE_LINK23"/>
      <w:bookmarkStart w:id="47" w:name="OLE_LINK70"/>
      <w:r>
        <w:rPr>
          <w:rFonts w:hint="eastAsia" w:ascii="仿宋_GB2312" w:eastAsia="仿宋_GB2312"/>
          <w:color w:val="000000" w:themeColor="text1"/>
          <w:sz w:val="32"/>
          <w:szCs w:val="32"/>
        </w:rPr>
        <w:t>政府性基金预算支出</w:t>
      </w:r>
      <w:bookmarkEnd w:id="46"/>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，与上年相比无变化，主要原因是：2018年度无政府性基金预算财政拨款支出。</w:t>
      </w:r>
      <w:bookmarkEnd w:id="47"/>
      <w:r>
        <w:rPr>
          <w:rFonts w:hint="eastAsia" w:ascii="仿宋_GB2312" w:eastAsia="仿宋_GB2312"/>
          <w:color w:val="000000" w:themeColor="text1"/>
          <w:sz w:val="32"/>
          <w:szCs w:val="32"/>
        </w:rPr>
        <w:t>其中：</w:t>
      </w:r>
      <w:bookmarkStart w:id="48" w:name="OLE_LINK24"/>
      <w:r>
        <w:rPr>
          <w:rFonts w:hint="eastAsia" w:ascii="仿宋_GB2312" w:eastAsia="仿宋_GB2312"/>
          <w:color w:val="000000" w:themeColor="text1"/>
          <w:sz w:val="32"/>
          <w:szCs w:val="32"/>
        </w:rPr>
        <w:t>按功能分类科目（按类级科目公开）</w:t>
      </w:r>
      <w:bookmarkEnd w:id="48"/>
      <w:r>
        <w:rPr>
          <w:rFonts w:hint="eastAsia" w:ascii="仿宋_GB2312" w:eastAsia="仿宋_GB2312"/>
          <w:color w:val="000000" w:themeColor="text1"/>
          <w:sz w:val="32"/>
          <w:szCs w:val="32"/>
        </w:rPr>
        <w:t>，无。按经济分类科目（按类级科目公开），无。</w:t>
      </w:r>
    </w:p>
    <w:p>
      <w:pPr>
        <w:spacing w:line="540" w:lineRule="exact"/>
        <w:ind w:firstLine="640" w:firstLineChars="200"/>
        <w:rPr>
          <w:rFonts w:ascii="仿宋_GB2312" w:eastAsia="仿宋_GB2312"/>
          <w:color w:val="000000" w:themeColor="text1"/>
          <w:sz w:val="32"/>
          <w:szCs w:val="32"/>
        </w:rPr>
      </w:pPr>
      <w:bookmarkStart w:id="49" w:name="OLE_LINK72"/>
      <w:bookmarkStart w:id="50" w:name="OLE_LINK71"/>
      <w:r>
        <w:rPr>
          <w:rFonts w:hint="eastAsia" w:ascii="仿宋_GB2312" w:eastAsia="仿宋_GB2312"/>
          <w:color w:val="000000" w:themeColor="text1"/>
          <w:sz w:val="32"/>
          <w:szCs w:val="32"/>
        </w:rPr>
        <w:t>与年初预算数相比情况：政府性基金预算财政拨款收入年初预算数0万元，决算数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，预决算差异率0%，差异主要原因是2018年度无政府性基金预算财政拨款收入。</w:t>
      </w:r>
      <w:bookmarkEnd w:id="49"/>
      <w:bookmarkEnd w:id="50"/>
      <w:bookmarkStart w:id="51" w:name="OLE_LINK73"/>
      <w:r>
        <w:rPr>
          <w:rFonts w:hint="eastAsia" w:ascii="仿宋_GB2312" w:eastAsia="仿宋_GB2312"/>
          <w:color w:val="000000" w:themeColor="text1"/>
          <w:sz w:val="32"/>
          <w:szCs w:val="32"/>
        </w:rPr>
        <w:t>政府性基金预算财政拨款支出年初预算数0万元，决算数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，预决算差异率0%，差异主要原因是2018年度无政府性基金预算财政拨款支出。</w:t>
      </w:r>
      <w:bookmarkEnd w:id="51"/>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三、部门结转结余情况</w:t>
      </w:r>
    </w:p>
    <w:p>
      <w:pPr>
        <w:spacing w:line="540" w:lineRule="exact"/>
        <w:ind w:firstLine="640" w:firstLineChars="200"/>
        <w:rPr>
          <w:rFonts w:ascii="仿宋_GB2312" w:eastAsia="仿宋_GB2312"/>
          <w:color w:val="000000" w:themeColor="text1"/>
          <w:sz w:val="32"/>
          <w:szCs w:val="32"/>
        </w:rPr>
      </w:pPr>
      <w:bookmarkStart w:id="52" w:name="OLE_LINK26"/>
      <w:bookmarkStart w:id="53" w:name="OLE_LINK25"/>
      <w:r>
        <w:rPr>
          <w:rFonts w:hint="eastAsia" w:ascii="仿宋_GB2312" w:eastAsia="仿宋_GB2312"/>
          <w:color w:val="000000" w:themeColor="text1"/>
          <w:sz w:val="32"/>
          <w:szCs w:val="32"/>
        </w:rPr>
        <w:t>年末结转结余</w:t>
      </w:r>
      <w:bookmarkEnd w:id="52"/>
      <w:bookmarkEnd w:id="53"/>
      <w:r>
        <w:rPr>
          <w:rFonts w:hint="eastAsia" w:ascii="仿宋_GB2312" w:eastAsia="仿宋_GB2312"/>
          <w:sz w:val="32"/>
          <w:szCs w:val="32"/>
        </w:rPr>
        <w:t>55.15</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。与上年相比，减少374.24万元，下降87.16%</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r>
        <w:rPr>
          <w:rFonts w:hint="eastAsia" w:ascii="仿宋_GB2312" w:eastAsia="仿宋_GB2312"/>
          <w:color w:val="000000" w:themeColor="text1"/>
          <w:sz w:val="32"/>
          <w:szCs w:val="32"/>
        </w:rPr>
        <w:t>其中</w:t>
      </w:r>
      <w:bookmarkStart w:id="54" w:name="OLE_LINK27"/>
      <w:bookmarkStart w:id="55" w:name="OLE_LINK28"/>
      <w:r>
        <w:rPr>
          <w:rFonts w:hint="eastAsia" w:ascii="仿宋_GB2312" w:eastAsia="仿宋_GB2312"/>
          <w:color w:val="000000" w:themeColor="text1"/>
          <w:sz w:val="32"/>
          <w:szCs w:val="32"/>
        </w:rPr>
        <w:t>财政拨款结转结余</w:t>
      </w:r>
      <w:bookmarkEnd w:id="54"/>
      <w:bookmarkEnd w:id="55"/>
      <w:r>
        <w:rPr>
          <w:rFonts w:hint="eastAsia" w:ascii="仿宋_GB2312" w:eastAsia="仿宋_GB2312"/>
          <w:sz w:val="32"/>
          <w:szCs w:val="32"/>
        </w:rPr>
        <w:t>55</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。与上年相比，减少374.39万元，下降87.19%。</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四、一般公共预算“三公”经费支出情况</w:t>
      </w:r>
    </w:p>
    <w:p>
      <w:pPr>
        <w:spacing w:line="540" w:lineRule="exact"/>
        <w:ind w:firstLine="640" w:firstLineChars="200"/>
        <w:rPr>
          <w:rFonts w:ascii="仿宋_GB2312" w:eastAsia="仿宋_GB2312"/>
          <w:color w:val="000000" w:themeColor="text1"/>
          <w:sz w:val="32"/>
          <w:szCs w:val="32"/>
        </w:rPr>
      </w:pPr>
      <w:bookmarkStart w:id="56" w:name="OLE_LINK74"/>
      <w:r>
        <w:rPr>
          <w:rFonts w:hint="eastAsia" w:ascii="仿宋_GB2312" w:eastAsia="仿宋_GB2312"/>
          <w:color w:val="000000" w:themeColor="text1"/>
          <w:sz w:val="32"/>
          <w:szCs w:val="32"/>
        </w:rPr>
        <w:t>2018年度</w:t>
      </w:r>
      <w:bookmarkStart w:id="57" w:name="OLE_LINK29"/>
      <w:r>
        <w:rPr>
          <w:rFonts w:hint="eastAsia" w:ascii="仿宋_GB2312" w:eastAsia="仿宋_GB2312"/>
          <w:color w:val="000000" w:themeColor="text1"/>
          <w:sz w:val="32"/>
          <w:szCs w:val="32"/>
        </w:rPr>
        <w:t>一般公共预算“三公”经费支出决算</w:t>
      </w:r>
      <w:bookmarkEnd w:id="57"/>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，与上年相比无变化，主要原因是：本单位无“三公”经费支出。</w:t>
      </w:r>
      <w:bookmarkEnd w:id="56"/>
      <w:bookmarkStart w:id="58" w:name="OLE_LINK75"/>
      <w:r>
        <w:rPr>
          <w:rFonts w:hint="eastAsia" w:ascii="仿宋_GB2312" w:eastAsia="仿宋_GB2312"/>
          <w:color w:val="000000" w:themeColor="text1"/>
          <w:sz w:val="32"/>
          <w:szCs w:val="32"/>
        </w:rPr>
        <w:t>其中，</w:t>
      </w:r>
      <w:bookmarkStart w:id="59" w:name="OLE_LINK30"/>
      <w:r>
        <w:rPr>
          <w:rFonts w:hint="eastAsia" w:ascii="仿宋_GB2312" w:eastAsia="仿宋_GB2312"/>
          <w:color w:val="000000" w:themeColor="text1"/>
          <w:sz w:val="32"/>
          <w:szCs w:val="32"/>
        </w:rPr>
        <w:t>因公出国（境）费支出</w:t>
      </w:r>
      <w:bookmarkEnd w:id="5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0%，与上年相比无变化，主要原因是：本单位无因公出国（境）费支出；</w:t>
      </w:r>
      <w:bookmarkEnd w:id="58"/>
      <w:bookmarkStart w:id="60" w:name="OLE_LINK31"/>
      <w:bookmarkStart w:id="61" w:name="OLE_LINK76"/>
      <w:r>
        <w:rPr>
          <w:rFonts w:hint="eastAsia" w:ascii="仿宋_GB2312" w:eastAsia="仿宋_GB2312"/>
          <w:color w:val="000000" w:themeColor="text1"/>
          <w:sz w:val="32"/>
          <w:szCs w:val="32"/>
        </w:rPr>
        <w:t>公务用车购置及运行维护费支出</w:t>
      </w:r>
      <w:bookmarkEnd w:id="60"/>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0%，与上年相比无变化，主要原因是：本单位无公务用车购置及运行维护费支出；</w:t>
      </w:r>
      <w:bookmarkEnd w:id="61"/>
      <w:bookmarkStart w:id="62" w:name="OLE_LINK32"/>
      <w:bookmarkStart w:id="63" w:name="OLE_LINK78"/>
      <w:bookmarkStart w:id="64" w:name="OLE_LINK77"/>
      <w:r>
        <w:rPr>
          <w:rFonts w:hint="eastAsia" w:ascii="仿宋_GB2312" w:eastAsia="仿宋_GB2312"/>
          <w:color w:val="000000" w:themeColor="text1"/>
          <w:sz w:val="32"/>
          <w:szCs w:val="32"/>
        </w:rPr>
        <w:t>公务接待费支出</w:t>
      </w:r>
      <w:bookmarkEnd w:id="6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0%，与上年相比无变化，主要原因是：本单位无公务接待费支出。</w:t>
      </w:r>
      <w:bookmarkEnd w:id="63"/>
      <w:bookmarkEnd w:id="64"/>
      <w:r>
        <w:rPr>
          <w:rFonts w:hint="eastAsia" w:ascii="仿宋_GB2312" w:eastAsia="仿宋_GB2312"/>
          <w:color w:val="000000" w:themeColor="text1"/>
          <w:sz w:val="32"/>
          <w:szCs w:val="32"/>
        </w:rPr>
        <w:t>具体情况如下：</w:t>
      </w:r>
    </w:p>
    <w:p>
      <w:pPr>
        <w:spacing w:line="540" w:lineRule="exact"/>
        <w:ind w:firstLine="640" w:firstLineChars="200"/>
        <w:rPr>
          <w:rFonts w:ascii="仿宋_GB2312" w:eastAsia="仿宋_GB2312"/>
          <w:color w:val="000000" w:themeColor="text1"/>
          <w:sz w:val="32"/>
          <w:szCs w:val="32"/>
        </w:rPr>
      </w:pPr>
      <w:bookmarkStart w:id="65" w:name="OLE_LINK79"/>
      <w:bookmarkStart w:id="66" w:name="OLE_LINK80"/>
      <w:r>
        <w:rPr>
          <w:rFonts w:hint="eastAsia" w:ascii="仿宋_GB2312" w:eastAsia="仿宋_GB2312"/>
          <w:color w:val="000000" w:themeColor="text1"/>
          <w:sz w:val="32"/>
          <w:szCs w:val="32"/>
        </w:rPr>
        <w:t>因公出国（境）费支出</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新疆喀什地区泽普县农村合作经济经营管理局</w:t>
      </w:r>
      <w:r>
        <w:rPr>
          <w:rFonts w:hint="eastAsia" w:ascii="仿宋_GB2312" w:eastAsia="仿宋_GB2312"/>
          <w:color w:val="000000" w:themeColor="text1"/>
          <w:sz w:val="32"/>
          <w:szCs w:val="32"/>
        </w:rPr>
        <w:t>单位</w:t>
      </w:r>
      <w:bookmarkStart w:id="67" w:name="OLE_LINK33"/>
      <w:r>
        <w:rPr>
          <w:rFonts w:hint="eastAsia" w:ascii="仿宋_GB2312" w:eastAsia="仿宋_GB2312"/>
          <w:color w:val="000000" w:themeColor="text1"/>
          <w:sz w:val="32"/>
          <w:szCs w:val="32"/>
        </w:rPr>
        <w:t>全年</w:t>
      </w:r>
      <w:bookmarkStart w:id="68" w:name="OLE_LINK35"/>
      <w:bookmarkStart w:id="69" w:name="OLE_LINK34"/>
      <w:bookmarkStart w:id="70" w:name="OLE_LINK36"/>
      <w:r>
        <w:rPr>
          <w:rFonts w:hint="eastAsia" w:ascii="仿宋_GB2312" w:eastAsia="仿宋_GB2312"/>
          <w:color w:val="000000" w:themeColor="text1"/>
          <w:sz w:val="32"/>
          <w:szCs w:val="32"/>
        </w:rPr>
        <w:t>使用一般公共预算财政拨款安排的出国（境）团组</w:t>
      </w:r>
      <w:bookmarkEnd w:id="67"/>
      <w:bookmarkEnd w:id="68"/>
      <w:bookmarkEnd w:id="69"/>
      <w:r>
        <w:rPr>
          <w:rFonts w:hint="eastAsia" w:ascii="仿宋_GB2312" w:eastAsia="仿宋_GB2312"/>
          <w:sz w:val="32"/>
          <w:szCs w:val="32"/>
        </w:rPr>
        <w:t>0</w:t>
      </w:r>
      <w:r>
        <w:rPr>
          <w:rFonts w:hint="eastAsia" w:ascii="仿宋_GB2312" w:eastAsia="仿宋_GB2312"/>
          <w:color w:val="000000" w:themeColor="text1"/>
          <w:sz w:val="32"/>
          <w:szCs w:val="32"/>
        </w:rPr>
        <w:t>个</w:t>
      </w:r>
      <w:bookmarkEnd w:id="70"/>
      <w:r>
        <w:rPr>
          <w:rFonts w:hint="eastAsia" w:ascii="仿宋_GB2312" w:eastAsia="仿宋_GB2312"/>
          <w:color w:val="000000" w:themeColor="text1"/>
          <w:sz w:val="32"/>
          <w:szCs w:val="32"/>
        </w:rPr>
        <w:t>，</w:t>
      </w:r>
      <w:bookmarkStart w:id="71" w:name="OLE_LINK37"/>
      <w:r>
        <w:rPr>
          <w:rFonts w:hint="eastAsia" w:ascii="仿宋_GB2312" w:eastAsia="仿宋_GB2312"/>
          <w:color w:val="000000" w:themeColor="text1"/>
          <w:sz w:val="32"/>
          <w:szCs w:val="32"/>
        </w:rPr>
        <w:t>累计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1"/>
      <w:r>
        <w:rPr>
          <w:rFonts w:hint="eastAsia" w:ascii="仿宋_GB2312" w:eastAsia="仿宋_GB2312"/>
          <w:color w:val="000000" w:themeColor="text1"/>
          <w:sz w:val="32"/>
          <w:szCs w:val="32"/>
        </w:rPr>
        <w:t>。</w:t>
      </w:r>
      <w:bookmarkStart w:id="72" w:name="OLE_LINK38"/>
      <w:r>
        <w:rPr>
          <w:rFonts w:hint="eastAsia" w:ascii="仿宋_GB2312" w:eastAsia="仿宋_GB2312"/>
          <w:color w:val="000000" w:themeColor="text1"/>
          <w:sz w:val="32"/>
          <w:szCs w:val="32"/>
        </w:rPr>
        <w:t>开支内容包括：</w:t>
      </w:r>
      <w:r>
        <w:rPr>
          <w:rFonts w:ascii="仿宋_GB2312" w:eastAsia="仿宋_GB2312"/>
          <w:color w:val="000000" w:themeColor="text1"/>
          <w:sz w:val="32"/>
          <w:szCs w:val="32"/>
        </w:rPr>
        <w:t>本单位无因公出国（境）费支出。</w:t>
      </w:r>
      <w:bookmarkEnd w:id="65"/>
      <w:bookmarkEnd w:id="66"/>
      <w:bookmarkEnd w:id="72"/>
    </w:p>
    <w:p>
      <w:pPr>
        <w:spacing w:line="540" w:lineRule="exact"/>
        <w:ind w:firstLine="640" w:firstLineChars="200"/>
        <w:rPr>
          <w:rFonts w:ascii="仿宋_GB2312" w:eastAsia="仿宋_GB2312"/>
          <w:color w:val="000000" w:themeColor="text1"/>
          <w:sz w:val="32"/>
          <w:szCs w:val="32"/>
        </w:rPr>
      </w:pPr>
      <w:bookmarkStart w:id="73" w:name="OLE_LINK81"/>
      <w:r>
        <w:rPr>
          <w:rFonts w:hint="eastAsia" w:ascii="仿宋_GB2312" w:eastAsia="仿宋_GB2312"/>
          <w:color w:val="000000" w:themeColor="text1"/>
          <w:sz w:val="32"/>
          <w:szCs w:val="32"/>
        </w:rPr>
        <w:t>公务用车购置及运行维护费</w:t>
      </w:r>
      <w:r>
        <w:rPr>
          <w:rFonts w:hint="eastAsia" w:ascii="仿宋_GB2312" w:eastAsia="仿宋_GB2312"/>
          <w:sz w:val="32"/>
          <w:szCs w:val="32"/>
        </w:rPr>
        <w:t>0</w:t>
      </w:r>
      <w:r>
        <w:rPr>
          <w:rFonts w:hint="eastAsia" w:ascii="仿宋_GB2312" w:eastAsia="仿宋_GB2312"/>
          <w:color w:val="000000" w:themeColor="text1"/>
          <w:sz w:val="32"/>
          <w:szCs w:val="32"/>
        </w:rPr>
        <w:t>万元,其中，</w:t>
      </w:r>
      <w:bookmarkStart w:id="74" w:name="OLE_LINK39"/>
      <w:r>
        <w:rPr>
          <w:rFonts w:hint="eastAsia" w:ascii="仿宋_GB2312" w:eastAsia="仿宋_GB2312"/>
          <w:color w:val="000000" w:themeColor="text1"/>
          <w:sz w:val="32"/>
          <w:szCs w:val="32"/>
        </w:rPr>
        <w:t>公务用车购置</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74"/>
      <w:r>
        <w:rPr>
          <w:rFonts w:hint="eastAsia" w:ascii="仿宋_GB2312" w:eastAsia="仿宋_GB2312"/>
          <w:color w:val="000000" w:themeColor="text1"/>
          <w:sz w:val="32"/>
          <w:szCs w:val="32"/>
        </w:rPr>
        <w:t>，</w:t>
      </w:r>
      <w:bookmarkStart w:id="75" w:name="OLE_LINK41"/>
      <w:bookmarkStart w:id="76" w:name="OLE_LINK40"/>
      <w:r>
        <w:rPr>
          <w:rFonts w:hint="eastAsia" w:ascii="仿宋_GB2312" w:eastAsia="仿宋_GB2312"/>
          <w:color w:val="000000" w:themeColor="text1"/>
          <w:sz w:val="32"/>
          <w:szCs w:val="32"/>
        </w:rPr>
        <w:t>公务用车运行维护费</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75"/>
      <w:bookmarkEnd w:id="76"/>
      <w:r>
        <w:rPr>
          <w:rFonts w:hint="eastAsia" w:ascii="仿宋_GB2312" w:eastAsia="仿宋_GB2312"/>
          <w:color w:val="000000" w:themeColor="text1"/>
          <w:sz w:val="32"/>
          <w:szCs w:val="32"/>
        </w:rPr>
        <w:t>。主要用于</w:t>
      </w:r>
      <w:r>
        <w:rPr>
          <w:rFonts w:hint="eastAsia" w:ascii="仿宋_GB2312" w:eastAsia="仿宋_GB2312"/>
          <w:sz w:val="32"/>
          <w:szCs w:val="32"/>
        </w:rPr>
        <w:t>本单位无公务用车购置及运行维护费支出</w:t>
      </w:r>
      <w:r>
        <w:rPr>
          <w:rFonts w:hint="eastAsia" w:ascii="仿宋_GB2312" w:eastAsia="仿宋_GB2312"/>
          <w:color w:val="000000" w:themeColor="text1"/>
          <w:sz w:val="32"/>
          <w:szCs w:val="32"/>
        </w:rPr>
        <w:t>等。</w:t>
      </w:r>
      <w:bookmarkEnd w:id="73"/>
      <w:bookmarkStart w:id="77" w:name="OLE_LINK82"/>
      <w:r>
        <w:rPr>
          <w:rFonts w:hint="eastAsia" w:ascii="仿宋_GB2312" w:eastAsia="仿宋_GB2312"/>
          <w:color w:val="000000" w:themeColor="text1"/>
          <w:sz w:val="32"/>
          <w:szCs w:val="32"/>
        </w:rPr>
        <w:t>单位一般公共财政拨款安排的公务用车购置量</w:t>
      </w:r>
      <w:r>
        <w:rPr>
          <w:rFonts w:hint="eastAsia" w:ascii="仿宋_GB2312" w:eastAsia="仿宋_GB2312"/>
          <w:sz w:val="32"/>
          <w:szCs w:val="32"/>
        </w:rPr>
        <w:t>0</w:t>
      </w:r>
      <w:r>
        <w:rPr>
          <w:rFonts w:hint="eastAsia" w:ascii="仿宋_GB2312" w:eastAsia="仿宋_GB2312"/>
          <w:color w:val="000000" w:themeColor="text1"/>
          <w:sz w:val="32"/>
          <w:szCs w:val="32"/>
        </w:rPr>
        <w:t>辆，保有量为</w:t>
      </w:r>
      <w:r>
        <w:rPr>
          <w:rFonts w:hint="eastAsia" w:ascii="仿宋_GB2312" w:eastAsia="仿宋_GB2312"/>
          <w:sz w:val="32"/>
          <w:szCs w:val="32"/>
        </w:rPr>
        <w:t>0</w:t>
      </w:r>
      <w:r>
        <w:rPr>
          <w:rFonts w:hint="eastAsia" w:ascii="仿宋_GB2312" w:eastAsia="仿宋_GB2312"/>
          <w:color w:val="000000" w:themeColor="text1"/>
          <w:sz w:val="32"/>
          <w:szCs w:val="32"/>
        </w:rPr>
        <w:t>辆。</w:t>
      </w:r>
      <w:bookmarkEnd w:id="77"/>
    </w:p>
    <w:p>
      <w:pPr>
        <w:spacing w:line="540" w:lineRule="exact"/>
        <w:ind w:firstLine="640" w:firstLineChars="200"/>
        <w:rPr>
          <w:rFonts w:ascii="仿宋_GB2312" w:eastAsia="仿宋_GB2312"/>
          <w:color w:val="000000" w:themeColor="text1"/>
          <w:sz w:val="32"/>
          <w:szCs w:val="32"/>
        </w:rPr>
      </w:pPr>
      <w:bookmarkStart w:id="78" w:name="OLE_LINK83"/>
      <w:r>
        <w:rPr>
          <w:rFonts w:hint="eastAsia" w:ascii="仿宋_GB2312" w:eastAsia="仿宋_GB2312"/>
          <w:color w:val="000000" w:themeColor="text1"/>
          <w:sz w:val="32"/>
          <w:szCs w:val="32"/>
        </w:rPr>
        <w:t>公务接待费</w:t>
      </w:r>
      <w:r>
        <w:rPr>
          <w:rFonts w:hint="eastAsia" w:ascii="仿宋_GB2312" w:eastAsia="仿宋_GB2312"/>
          <w:sz w:val="32"/>
          <w:szCs w:val="32"/>
        </w:rPr>
        <w:t>0</w:t>
      </w:r>
      <w:r>
        <w:rPr>
          <w:rFonts w:hint="eastAsia" w:ascii="仿宋_GB2312" w:eastAsia="仿宋_GB2312"/>
          <w:color w:val="000000" w:themeColor="text1"/>
          <w:sz w:val="32"/>
          <w:szCs w:val="32"/>
        </w:rPr>
        <w:t>万元。具体是：国内公务接待支出</w:t>
      </w:r>
      <w:r>
        <w:rPr>
          <w:rFonts w:hint="eastAsia" w:ascii="仿宋_GB2312" w:eastAsia="仿宋_GB2312"/>
          <w:sz w:val="32"/>
          <w:szCs w:val="32"/>
        </w:rPr>
        <w:t>0</w:t>
      </w:r>
      <w:r>
        <w:rPr>
          <w:rFonts w:hint="eastAsia" w:ascii="仿宋_GB2312" w:eastAsia="仿宋_GB2312"/>
          <w:color w:val="000000" w:themeColor="text1"/>
          <w:sz w:val="32"/>
          <w:szCs w:val="32"/>
        </w:rPr>
        <w:t>万元，主要是</w:t>
      </w:r>
      <w:r>
        <w:rPr>
          <w:rFonts w:hint="eastAsia" w:ascii="仿宋_GB2312" w:eastAsia="仿宋_GB2312"/>
          <w:sz w:val="32"/>
          <w:szCs w:val="32"/>
        </w:rPr>
        <w:t>本单位无公务接待费支出</w:t>
      </w:r>
      <w:r>
        <w:rPr>
          <w:rFonts w:hint="eastAsia" w:ascii="仿宋_GB2312" w:eastAsia="仿宋_GB2312"/>
          <w:color w:val="000000" w:themeColor="text1"/>
          <w:sz w:val="32"/>
          <w:szCs w:val="32"/>
        </w:rPr>
        <w:t>等。</w:t>
      </w:r>
      <w:bookmarkEnd w:id="78"/>
      <w:bookmarkStart w:id="79" w:name="OLE_LINK84"/>
      <w:r>
        <w:rPr>
          <w:rFonts w:hint="eastAsia" w:ascii="仿宋_GB2312" w:eastAsia="仿宋_GB2312"/>
          <w:sz w:val="32"/>
          <w:szCs w:val="32"/>
        </w:rPr>
        <w:t>新疆喀什地区泽普县农村合作经济经营管理局</w:t>
      </w:r>
      <w:r>
        <w:rPr>
          <w:rFonts w:hint="eastAsia" w:ascii="仿宋_GB2312" w:eastAsia="仿宋_GB2312"/>
          <w:color w:val="000000" w:themeColor="text1"/>
          <w:sz w:val="32"/>
          <w:szCs w:val="32"/>
        </w:rPr>
        <w:t>单位国内公务接待</w:t>
      </w:r>
      <w:r>
        <w:rPr>
          <w:rFonts w:hint="eastAsia" w:ascii="仿宋_GB2312" w:eastAsia="仿宋_GB2312"/>
          <w:sz w:val="32"/>
          <w:szCs w:val="32"/>
        </w:rPr>
        <w:t>0</w:t>
      </w:r>
      <w:r>
        <w:rPr>
          <w:rFonts w:hint="eastAsia" w:ascii="仿宋_GB2312" w:eastAsia="仿宋_GB2312"/>
          <w:color w:val="000000" w:themeColor="text1"/>
          <w:sz w:val="32"/>
          <w:szCs w:val="32"/>
        </w:rPr>
        <w:t>批次，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9"/>
    </w:p>
    <w:p>
      <w:pPr>
        <w:spacing w:line="540" w:lineRule="exact"/>
        <w:ind w:firstLine="640" w:firstLineChars="200"/>
        <w:rPr>
          <w:rFonts w:ascii="仿宋_GB2312" w:hAnsi="宋体" w:eastAsia="仿宋_GB2312" w:cs="宋体"/>
          <w:color w:val="000000" w:themeColor="text1"/>
          <w:kern w:val="0"/>
          <w:sz w:val="32"/>
          <w:szCs w:val="32"/>
        </w:rPr>
      </w:pPr>
      <w:bookmarkStart w:id="80" w:name="OLE_LINK85"/>
      <w:r>
        <w:rPr>
          <w:rFonts w:hint="eastAsia" w:ascii="仿宋_GB2312" w:eastAsia="仿宋_GB2312"/>
          <w:color w:val="000000" w:themeColor="text1"/>
          <w:sz w:val="32"/>
          <w:szCs w:val="32"/>
        </w:rPr>
        <w:t>与年初预算数相比情况：一般公共预算“三公”经费支出年初预算数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，预决算差异率0%，差异主要原因是本单位无“三公”经费支出。</w:t>
      </w:r>
      <w:bookmarkEnd w:id="80"/>
      <w:bookmarkStart w:id="81" w:name="OLE_LINK87"/>
      <w:bookmarkStart w:id="82" w:name="OLE_LINK86"/>
      <w:r>
        <w:rPr>
          <w:rFonts w:hint="eastAsia" w:ascii="仿宋_GB2312" w:hAnsi="宋体" w:eastAsia="仿宋_GB2312" w:cs="宋体"/>
          <w:color w:val="000000" w:themeColor="text1"/>
          <w:kern w:val="0"/>
          <w:sz w:val="32"/>
          <w:szCs w:val="32"/>
        </w:rPr>
        <w:t>其中：因公出国（境）费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，预决算差异率0%，差异主要原因是本单位无因公出国（境）费支出；</w:t>
      </w:r>
      <w:bookmarkEnd w:id="81"/>
      <w:bookmarkEnd w:id="82"/>
      <w:bookmarkStart w:id="83" w:name="OLE_LINK89"/>
      <w:bookmarkStart w:id="84" w:name="OLE_LINK88"/>
      <w:r>
        <w:rPr>
          <w:rFonts w:hint="eastAsia" w:ascii="仿宋_GB2312" w:hAnsi="宋体" w:eastAsia="仿宋_GB2312" w:cs="宋体"/>
          <w:color w:val="000000" w:themeColor="text1"/>
          <w:kern w:val="0"/>
          <w:sz w:val="32"/>
          <w:szCs w:val="32"/>
        </w:rPr>
        <w:t>公务用车购置</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，预决算差异率0%，差异主要原因是本单位无新增公务用车购置数；</w:t>
      </w:r>
      <w:bookmarkEnd w:id="83"/>
      <w:bookmarkEnd w:id="84"/>
      <w:bookmarkStart w:id="85" w:name="OLE_LINK90"/>
      <w:r>
        <w:rPr>
          <w:rFonts w:hint="eastAsia" w:ascii="仿宋_GB2312" w:hAnsi="宋体" w:eastAsia="仿宋_GB2312" w:cs="宋体"/>
          <w:color w:val="000000" w:themeColor="text1"/>
          <w:kern w:val="0"/>
          <w:sz w:val="32"/>
          <w:szCs w:val="32"/>
        </w:rPr>
        <w:t>公务用车运行费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，预决算差异率0%，差异主要原因是本单位无公务用车运行费支出；</w:t>
      </w:r>
      <w:bookmarkEnd w:id="85"/>
      <w:bookmarkStart w:id="86" w:name="OLE_LINK91"/>
      <w:r>
        <w:rPr>
          <w:rFonts w:hint="eastAsia" w:ascii="仿宋_GB2312" w:hAnsi="宋体" w:eastAsia="仿宋_GB2312" w:cs="宋体"/>
          <w:color w:val="000000" w:themeColor="text1"/>
          <w:kern w:val="0"/>
          <w:sz w:val="32"/>
          <w:szCs w:val="32"/>
        </w:rPr>
        <w:t>公务接待费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w:t>
      </w:r>
      <w:bookmarkEnd w:id="86"/>
      <w:r>
        <w:rPr>
          <w:rFonts w:ascii="仿宋_GB2312" w:eastAsia="仿宋_GB2312"/>
          <w:color w:val="000000" w:themeColor="text1"/>
          <w:sz w:val="32"/>
          <w:szCs w:val="32"/>
        </w:rPr>
        <w:t>2018年度无公务接待费。</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五、机关运行经费支出情况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新疆喀什地区泽普县农村合作经济经营管理局日常公用经费14.53万元，与上年相比，增加6.59万元，增长83%，增加的主要原因是：新增2018年农村清产核资工作经费10.56万元，作为农村清产核资工作的办公用品、交通费及电脑耗材等费用。</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六、政府采购情况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w:t>
      </w:r>
      <w:bookmarkStart w:id="87" w:name="OLE_LINK45"/>
      <w:r>
        <w:rPr>
          <w:rFonts w:hint="eastAsia" w:ascii="仿宋_GB2312" w:eastAsia="仿宋_GB2312"/>
          <w:color w:val="000000" w:themeColor="text1"/>
          <w:sz w:val="32"/>
          <w:szCs w:val="32"/>
        </w:rPr>
        <w:t>政府采购支出总额</w:t>
      </w:r>
      <w:bookmarkEnd w:id="87"/>
      <w:r>
        <w:rPr>
          <w:rFonts w:hint="eastAsia" w:ascii="仿宋_GB2312" w:eastAsia="仿宋_GB2312"/>
          <w:sz w:val="32"/>
          <w:szCs w:val="32"/>
        </w:rPr>
        <w:t>0</w:t>
      </w:r>
      <w:r>
        <w:rPr>
          <w:rFonts w:hint="eastAsia" w:ascii="仿宋_GB2312" w:eastAsia="仿宋_GB2312"/>
          <w:color w:val="000000" w:themeColor="text1"/>
          <w:sz w:val="32"/>
          <w:szCs w:val="32"/>
        </w:rPr>
        <w:t>万元，其中：</w:t>
      </w:r>
      <w:bookmarkStart w:id="88" w:name="OLE_LINK46"/>
      <w:r>
        <w:rPr>
          <w:rFonts w:hint="eastAsia" w:ascii="仿宋_GB2312" w:eastAsia="仿宋_GB2312"/>
          <w:color w:val="000000" w:themeColor="text1"/>
          <w:sz w:val="32"/>
          <w:szCs w:val="32"/>
        </w:rPr>
        <w:t>政府采购货物支出</w:t>
      </w:r>
      <w:bookmarkEnd w:id="88"/>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89" w:name="OLE_LINK47"/>
      <w:r>
        <w:rPr>
          <w:rFonts w:hint="eastAsia" w:ascii="仿宋_GB2312" w:eastAsia="仿宋_GB2312"/>
          <w:color w:val="000000" w:themeColor="text1"/>
          <w:sz w:val="32"/>
          <w:szCs w:val="32"/>
        </w:rPr>
        <w:t>政府采购工程支出</w:t>
      </w:r>
      <w:bookmarkEnd w:id="89"/>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90" w:name="OLE_LINK48"/>
      <w:r>
        <w:rPr>
          <w:rFonts w:hint="eastAsia" w:ascii="仿宋_GB2312" w:eastAsia="仿宋_GB2312"/>
          <w:color w:val="000000" w:themeColor="text1"/>
          <w:sz w:val="32"/>
          <w:szCs w:val="32"/>
        </w:rPr>
        <w:t>政府采购服务支出</w:t>
      </w:r>
      <w:bookmarkEnd w:id="90"/>
      <w:r>
        <w:rPr>
          <w:rFonts w:hint="eastAsia" w:ascii="仿宋_GB2312" w:eastAsia="仿宋_GB2312"/>
          <w:sz w:val="32"/>
          <w:szCs w:val="32"/>
        </w:rPr>
        <w:t>0</w:t>
      </w:r>
      <w:r>
        <w:rPr>
          <w:rFonts w:hint="eastAsia" w:ascii="仿宋_GB2312" w:eastAsia="仿宋_GB2312"/>
          <w:color w:val="000000" w:themeColor="text1"/>
          <w:sz w:val="32"/>
          <w:szCs w:val="32"/>
        </w:rPr>
        <w:t>万元。</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七、其他重要事项的情况</w:t>
      </w:r>
    </w:p>
    <w:p>
      <w:pPr>
        <w:spacing w:line="540" w:lineRule="exact"/>
        <w:ind w:firstLine="643" w:firstLineChars="200"/>
        <w:rPr>
          <w:rFonts w:ascii="楷体_GB2312" w:eastAsia="楷体_GB2312"/>
          <w:b/>
          <w:bCs/>
          <w:color w:val="000000" w:themeColor="text1"/>
          <w:sz w:val="32"/>
          <w:szCs w:val="32"/>
        </w:rPr>
      </w:pPr>
      <w:r>
        <w:rPr>
          <w:rFonts w:hint="eastAsia" w:ascii="楷体_GB2312" w:eastAsia="楷体_GB2312"/>
          <w:b/>
          <w:bCs/>
          <w:color w:val="000000" w:themeColor="text1"/>
          <w:sz w:val="32"/>
          <w:szCs w:val="32"/>
        </w:rPr>
        <w:t>（一）国有资产占用情况说明</w:t>
      </w:r>
    </w:p>
    <w:p>
      <w:pPr>
        <w:spacing w:line="540" w:lineRule="exact"/>
        <w:ind w:firstLine="640" w:firstLineChars="200"/>
        <w:rPr>
          <w:rFonts w:ascii="仿宋_GB2312" w:eastAsia="仿宋_GB2312"/>
          <w:color w:val="000000" w:themeColor="text1"/>
          <w:sz w:val="32"/>
          <w:szCs w:val="32"/>
        </w:rPr>
      </w:pPr>
      <w:bookmarkStart w:id="91" w:name="OLE_LINK97"/>
      <w:r>
        <w:rPr>
          <w:rFonts w:hint="eastAsia" w:ascii="仿宋_GB2312" w:eastAsia="仿宋_GB2312"/>
          <w:color w:val="000000" w:themeColor="text1"/>
          <w:sz w:val="32"/>
          <w:szCs w:val="32"/>
        </w:rPr>
        <w:t>截至2018年12月31日，单位共有车辆</w:t>
      </w:r>
      <w:r>
        <w:rPr>
          <w:rFonts w:hint="eastAsia" w:ascii="仿宋_GB2312" w:eastAsia="仿宋_GB2312"/>
          <w:sz w:val="32"/>
          <w:szCs w:val="32"/>
        </w:rPr>
        <w:t>0</w:t>
      </w:r>
      <w:r>
        <w:rPr>
          <w:rFonts w:hint="eastAsia" w:ascii="仿宋_GB2312" w:eastAsia="仿宋_GB2312"/>
          <w:color w:val="000000" w:themeColor="text1"/>
          <w:sz w:val="32"/>
          <w:szCs w:val="32"/>
        </w:rPr>
        <w:t>辆，价值</w:t>
      </w:r>
      <w:r>
        <w:rPr>
          <w:rFonts w:hint="eastAsia" w:ascii="仿宋_GB2312" w:eastAsia="仿宋_GB2312"/>
          <w:sz w:val="32"/>
          <w:szCs w:val="32"/>
        </w:rPr>
        <w:t>0</w:t>
      </w:r>
      <w:r>
        <w:rPr>
          <w:rFonts w:hint="eastAsia" w:ascii="仿宋_GB2312" w:eastAsia="仿宋_GB2312"/>
          <w:color w:val="000000" w:themeColor="text1"/>
          <w:sz w:val="32"/>
          <w:szCs w:val="32"/>
        </w:rPr>
        <w:t>万元，其中：部级领导干部用车</w:t>
      </w:r>
      <w:r>
        <w:rPr>
          <w:rFonts w:hint="eastAsia" w:ascii="仿宋_GB2312" w:eastAsia="仿宋_GB2312"/>
          <w:sz w:val="32"/>
          <w:szCs w:val="32"/>
        </w:rPr>
        <w:t>0</w:t>
      </w:r>
      <w:r>
        <w:rPr>
          <w:rFonts w:hint="eastAsia" w:ascii="仿宋_GB2312" w:eastAsia="仿宋_GB2312"/>
          <w:color w:val="000000" w:themeColor="text1"/>
          <w:sz w:val="32"/>
          <w:szCs w:val="32"/>
        </w:rPr>
        <w:t>辆、主要领导干部用车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辆、机要通信用车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辆、应急保障用车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辆、执法执勤用车</w:t>
      </w:r>
      <w:r>
        <w:rPr>
          <w:rFonts w:hint="eastAsia" w:ascii="仿宋_GB2312" w:eastAsia="仿宋_GB2312"/>
          <w:sz w:val="32"/>
          <w:szCs w:val="32"/>
        </w:rPr>
        <w:t>0</w:t>
      </w:r>
      <w:r>
        <w:rPr>
          <w:rFonts w:hint="eastAsia" w:ascii="仿宋_GB2312" w:eastAsia="仿宋_GB2312"/>
          <w:color w:val="000000" w:themeColor="text1"/>
          <w:sz w:val="32"/>
          <w:szCs w:val="32"/>
        </w:rPr>
        <w:t>辆、特种专业技术用车</w:t>
      </w:r>
      <w:r>
        <w:rPr>
          <w:rFonts w:hint="eastAsia" w:ascii="仿宋_GB2312" w:eastAsia="仿宋_GB2312"/>
          <w:sz w:val="32"/>
          <w:szCs w:val="32"/>
        </w:rPr>
        <w:t>0</w:t>
      </w:r>
      <w:r>
        <w:rPr>
          <w:rFonts w:hint="eastAsia" w:ascii="仿宋_GB2312" w:eastAsia="仿宋_GB2312"/>
          <w:color w:val="000000" w:themeColor="text1"/>
          <w:sz w:val="32"/>
          <w:szCs w:val="32"/>
        </w:rPr>
        <w:t>辆、离退休干部用车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辆，其他用车主要是：</w:t>
      </w:r>
      <w:r>
        <w:rPr>
          <w:rFonts w:ascii="仿宋_GB2312" w:eastAsia="仿宋_GB2312"/>
          <w:color w:val="000000" w:themeColor="text1"/>
          <w:sz w:val="32"/>
          <w:szCs w:val="32"/>
        </w:rPr>
        <w:t>本单位无公务用车；</w:t>
      </w:r>
      <w:r>
        <w:rPr>
          <w:rFonts w:hint="eastAsia" w:ascii="仿宋_GB2312" w:eastAsia="仿宋_GB2312"/>
          <w:color w:val="000000" w:themeColor="text1"/>
          <w:sz w:val="32"/>
          <w:szCs w:val="32"/>
        </w:rPr>
        <w:t>单位价值50万元以上通用设备</w:t>
      </w:r>
      <w:r>
        <w:rPr>
          <w:rFonts w:hint="eastAsia" w:ascii="仿宋_GB2312" w:eastAsia="仿宋_GB2312"/>
          <w:sz w:val="32"/>
          <w:szCs w:val="32"/>
        </w:rPr>
        <w:t>0</w:t>
      </w:r>
      <w:r>
        <w:rPr>
          <w:rFonts w:hint="eastAsia" w:ascii="仿宋_GB2312" w:eastAsia="仿宋_GB2312"/>
          <w:color w:val="000000" w:themeColor="text1"/>
          <w:sz w:val="32"/>
          <w:szCs w:val="32"/>
        </w:rPr>
        <w:t>台（套）、单位价值100万元以上专用设备</w:t>
      </w:r>
      <w:r>
        <w:rPr>
          <w:rFonts w:hint="eastAsia" w:ascii="仿宋_GB2312" w:eastAsia="仿宋_GB2312"/>
          <w:sz w:val="32"/>
          <w:szCs w:val="32"/>
        </w:rPr>
        <w:t>0</w:t>
      </w:r>
      <w:r>
        <w:rPr>
          <w:rFonts w:hint="eastAsia" w:ascii="仿宋_GB2312" w:eastAsia="仿宋_GB2312"/>
          <w:color w:val="000000" w:themeColor="text1"/>
          <w:sz w:val="32"/>
          <w:szCs w:val="32"/>
        </w:rPr>
        <w:t>台（套）。</w:t>
      </w:r>
      <w:bookmarkEnd w:id="91"/>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（二）预算绩效情况的说明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2018年度，本部门单位预算绩效自评情况：</w:t>
      </w:r>
      <w:r>
        <w:rPr>
          <w:rFonts w:ascii="仿宋_GB2312" w:eastAsia="仿宋_GB2312"/>
          <w:sz w:val="32"/>
          <w:szCs w:val="32"/>
        </w:rPr>
        <w:t>一是泽普县农业社会化服务专项转移支付12万元，已完成服务面积3000亩。目经过前期的组织分析，筛选摸底，确定了补助合作社的类型，泽普县宏鑫果品合作社为17户农户签订了泽普县宏鑫果品农民专业合作社农业（林果）技术服务合同，制定了技术服务统计表，每户服务的农户在表上签字确定，服务完成后，由合作社打报告，主管部门审核后，报县分管领导签字，并有县农经局打报告进行了资金的划拨，采取先服务后划拨，确保资金的正确有效使用。二是泽普县农村土地承包经营权确权登记颁证项目从2016年1月至2019年9月，用3年8个月的时间，完成泽普县15个乡镇（场）137个行政村19652个农户70.955万亩农村耕地承包经营权确权调查、登记及颁证工作，全面完善二轮农村土地承包面积不准、四至不清、空间位置不明，档案簿册不全等情况，为广大农户确实权、颁铁证，建立泽普县农村土地承包经营权信息管理平台及农村土地承包经营权确权档案成果，为后期的土地流转管理打下坚实基础。</w:t>
      </w:r>
    </w:p>
    <w:p>
      <w:pPr>
        <w:spacing w:line="540" w:lineRule="exact"/>
        <w:ind w:left="-1" w:right="-1" w:firstLine="646"/>
        <w:jc w:val="left"/>
        <w:rPr>
          <w:rFonts w:hint="eastAsia" w:eastAsia="仿宋_GB2312"/>
          <w:lang w:eastAsia="zh-CN"/>
        </w:rPr>
      </w:pPr>
      <w:r>
        <w:rPr>
          <w:rFonts w:ascii="仿宋_GB2312" w:hAnsi="仿宋_GB2312" w:eastAsia="仿宋_GB2312" w:cs="仿宋_GB2312"/>
          <w:b w:val="0"/>
          <w:color w:val="000000"/>
          <w:sz w:val="32"/>
          <w:u w:val="none"/>
        </w:rPr>
        <w:t>1、泽普县农村土地承包经营权确权登记颁证</w:t>
      </w:r>
      <w:r>
        <w:rPr>
          <w:rFonts w:hint="eastAsia" w:ascii="仿宋_GB2312" w:hAnsi="仿宋_GB2312" w:eastAsia="仿宋_GB2312" w:cs="仿宋_GB2312"/>
          <w:b w:val="0"/>
          <w:color w:val="000000"/>
          <w:sz w:val="32"/>
          <w:u w:val="none"/>
          <w:lang w:eastAsia="zh-CN"/>
        </w:rPr>
        <w:t>：</w:t>
      </w:r>
      <w:r>
        <w:rPr>
          <w:rFonts w:ascii="仿宋_GB2312" w:hAnsi="仿宋_GB2312" w:eastAsia="仿宋_GB2312" w:cs="仿宋_GB2312"/>
          <w:b w:val="0"/>
          <w:color w:val="000000"/>
          <w:sz w:val="32"/>
          <w:u w:val="none"/>
        </w:rPr>
        <w:t>项目绩效自评综述：根据年初设定的绩效目标，该项目绩效自评得分为95分。项目全年预算数为196.1万元，执行数为141.1万元，完成预算的71.95%。主要产出和效果：今年的农村土地承包经营权确权登记颁证项目已基本完成，现正在打印证书，完成率95%。该项目的实施，给农民土地确实权，颁铁证，吃定心丸，使之安于农业生产；实际完成值为农户对确权工作是欢迎的，满意的，更加安心生产。为保证农民的根本利益，使得农民安于农业生产，增加社会；实际完成值为农户的承包土地权益得到了保障，人人安于生产，社会更加。为保证农民的土地收入，农民还可以参与社会其他生产活动，增加农民收入；实际完成值为对农村土地进行科学管理科学种植，可以解放剩余劳动力从事非农行业，保证农民有土地收益的前提下有其他收益，导致农民收入增加。发现的问题及原因：因项目为跨年项目，资金支付进度未完成，剩余资金2019年进行支付，对预算工作缺乏认识，仍需继续加强预算管理</w:t>
      </w:r>
      <w:r>
        <w:rPr>
          <w:rFonts w:hint="eastAsia" w:ascii="仿宋_GB2312" w:hAnsi="仿宋_GB2312" w:eastAsia="仿宋_GB2312" w:cs="仿宋_GB2312"/>
          <w:b w:val="0"/>
          <w:color w:val="000000"/>
          <w:sz w:val="32"/>
          <w:u w:val="none"/>
          <w:lang w:val="en-US" w:eastAsia="zh-CN"/>
        </w:rPr>
        <w:t>,</w:t>
      </w:r>
      <w:r>
        <w:rPr>
          <w:rFonts w:ascii="仿宋_GB2312" w:hAnsi="仿宋_GB2312" w:eastAsia="仿宋_GB2312" w:cs="仿宋_GB2312"/>
          <w:b w:val="0"/>
          <w:color w:val="000000"/>
          <w:sz w:val="32"/>
          <w:u w:val="none"/>
        </w:rPr>
        <w:t>下一步改进措施：在今后的工作一方面要严格预算编制，做到细化精确，争取一些费用纳入财政预算中；另一方面要严格落实项目经费使用管理规定，做到专款专用</w:t>
      </w:r>
      <w:r>
        <w:rPr>
          <w:rFonts w:hint="eastAsia" w:ascii="仿宋_GB2312" w:hAnsi="仿宋_GB2312" w:eastAsia="仿宋_GB2312" w:cs="仿宋_GB2312"/>
          <w:b w:val="0"/>
          <w:color w:val="000000"/>
          <w:sz w:val="32"/>
          <w:u w:val="none"/>
          <w:lang w:eastAsia="zh-CN"/>
        </w:rPr>
        <w:t>。</w:t>
      </w:r>
    </w:p>
    <w:p>
      <w:pPr>
        <w:spacing w:line="540" w:lineRule="exact"/>
        <w:ind w:left="-1" w:right="-1" w:firstLine="646"/>
        <w:jc w:val="left"/>
        <w:rPr>
          <w:rFonts w:hint="eastAsia" w:eastAsia="仿宋_GB2312"/>
          <w:lang w:eastAsia="zh-CN"/>
        </w:rPr>
      </w:pPr>
      <w:r>
        <w:rPr>
          <w:rFonts w:ascii="仿宋_GB2312" w:hAnsi="仿宋_GB2312" w:eastAsia="仿宋_GB2312" w:cs="仿宋_GB2312"/>
          <w:b w:val="0"/>
          <w:color w:val="000000"/>
          <w:sz w:val="32"/>
          <w:u w:val="none"/>
        </w:rPr>
        <w:t>2、农村社会化服务项目绩效自评综述：根据年初设定的绩效目标，该项目绩效自评得分为100分。项目全年预算数为12万元，执行数为12万元，完成预算的100%。主要产出和效果：今年的农村社会化服务项目已完成，完成率100%。该项目的实施，带动了农户800户，带动和吸引周边乡镇农村专业养殖大户、科技带头人、外出务工返乡创业人员、农村能人及企业下岗人员积极加入到该社，帮扶贫困户收购红枣、核桃等果品，每年解决就业60人以上。发现的问题及原因：该项目已经全部实施完成，但由于资金有限，合作社规模不大，自身发展动力不足，合作社在做好相关技术服务力量方面还有一定的欠缺。下一步改进措施：在今后的工作一方面要严格预算编制，做到细化精确，争取一些费用纳入财政预算中；另一方面要严格落实项目经费使用管理规定，做到专款专用</w:t>
      </w:r>
      <w:r>
        <w:rPr>
          <w:rFonts w:hint="eastAsia" w:ascii="仿宋_GB2312" w:hAnsi="仿宋_GB2312" w:eastAsia="仿宋_GB2312" w:cs="仿宋_GB2312"/>
          <w:b w:val="0"/>
          <w:color w:val="000000"/>
          <w:sz w:val="32"/>
          <w:u w:val="none"/>
          <w:lang w:eastAsia="zh-CN"/>
        </w:rPr>
        <w:t>。</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exact"/>
        <w:ind w:firstLine="646"/>
        <w:jc w:val="left"/>
        <w:rPr>
          <w:rFonts w:ascii="仿宋_GB2312" w:eastAsia="仿宋_GB2312"/>
          <w:sz w:val="32"/>
          <w:szCs w:val="32"/>
        </w:rPr>
      </w:pPr>
      <w:r>
        <w:rPr>
          <w:rFonts w:hint="eastAsia" w:ascii="仿宋_GB2312" w:eastAsia="仿宋_GB2312"/>
          <w:sz w:val="32"/>
          <w:szCs w:val="32"/>
        </w:rPr>
        <w:t>有关项目自评情况可附项目支出绩效自评表。</w:t>
      </w:r>
    </w:p>
    <w:p>
      <w:pPr>
        <w:spacing w:line="540" w:lineRule="exact"/>
        <w:jc w:val="center"/>
        <w:rPr>
          <w:rFonts w:ascii="黑体" w:hAnsi="黑体" w:eastAsia="黑体"/>
          <w:sz w:val="32"/>
          <w:szCs w:val="32"/>
        </w:rPr>
      </w:pPr>
      <w:r>
        <w:rPr>
          <w:rFonts w:hint="eastAsia" w:ascii="黑体" w:hAnsi="黑体" w:eastAsia="黑体"/>
          <w:sz w:val="32"/>
          <w:szCs w:val="32"/>
        </w:rPr>
        <w:t>第三部分专业名词解释</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40" w:lineRule="exact"/>
        <w:ind w:firstLine="640" w:firstLineChars="200"/>
        <w:rPr>
          <w:rFonts w:ascii="仿宋_GB2312" w:hAnsi="Calibri" w:eastAsia="仿宋_GB2312"/>
          <w:color w:val="000000" w:themeColor="text1"/>
          <w:sz w:val="32"/>
          <w:szCs w:val="32"/>
          <w:lang w:val="en-GB"/>
        </w:rPr>
      </w:pPr>
      <w:r>
        <w:rPr>
          <w:rFonts w:hint="eastAsia" w:ascii="仿宋_GB2312" w:eastAsia="仿宋_GB2312"/>
          <w:color w:val="000000" w:themeColor="text1"/>
          <w:sz w:val="32"/>
          <w:szCs w:val="32"/>
        </w:rPr>
        <w:t>本单位支出功能分类说明</w:t>
      </w:r>
      <w:r>
        <w:rPr>
          <w:rFonts w:hint="eastAsia" w:ascii="仿宋_GB2312" w:hAnsi="Calibri" w:eastAsia="仿宋_GB2312"/>
          <w:color w:val="000000" w:themeColor="text1"/>
          <w:sz w:val="32"/>
          <w:szCs w:val="32"/>
          <w:lang w:val="en-GB"/>
        </w:rPr>
        <w:t>。</w:t>
      </w:r>
      <w:r>
        <w:rPr>
          <w:rFonts w:hint="eastAsia" w:ascii="仿宋_GB2312" w:eastAsia="仿宋_GB2312"/>
          <w:sz w:val="32"/>
          <w:szCs w:val="32"/>
        </w:rPr>
        <w:t>213（类）01（款）04（项）指：事业运行。221（类）02（款）01（项）指：住房公积金。213（类）01（款）01（项）指：行政运行。208（类）05（款）05（项）指：机关事业单位基本养老保险缴费支出。213（类）01（款）99（项）指：其他农业支出。</w:t>
      </w:r>
    </w:p>
    <w:p>
      <w:pPr>
        <w:spacing w:line="540" w:lineRule="exact"/>
        <w:ind w:firstLine="640" w:firstLineChars="200"/>
        <w:rPr>
          <w:rFonts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spacing w:line="540" w:lineRule="exact"/>
        <w:ind w:firstLine="643" w:firstLineChars="200"/>
        <w:rPr>
          <w:rFonts w:ascii="仿宋_GB2312" w:eastAsia="仿宋_GB2312"/>
          <w:b/>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第四部分部门决算公开的8张报表（见附表）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firstLine="640" w:firstLineChars="200"/>
        <w:rPr>
          <w:rFonts w:ascii="仿宋_GB2312" w:eastAsia="仿宋_GB2312"/>
          <w:sz w:val="32"/>
          <w:szCs w:val="32"/>
        </w:rPr>
        <w:sectPr>
          <w:footerReference r:id="rId3" w:type="default"/>
          <w:footerReference r:id="rId4" w:type="even"/>
          <w:pgSz w:w="11906" w:h="16838"/>
          <w:pgMar w:top="2041" w:right="1276" w:bottom="2041" w:left="1276" w:header="851" w:footer="1814" w:gutter="0"/>
          <w:pgNumType w:fmt="numberInDash"/>
          <w:cols w:space="425" w:num="1"/>
          <w:docGrid w:type="lines" w:linePitch="435" w:charSpace="-1675"/>
        </w:sect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p>
    <w:p>
      <w:pPr>
        <w:spacing w:line="540" w:lineRule="exact"/>
        <w:rPr>
          <w:rFonts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9631" w:y="37"/>
      <w:jc w:val="right"/>
      <w:rPr>
        <w:rStyle w:val="9"/>
        <w:rFonts w:hint="eastAsia" w:ascii="宋体" w:hAnsi="宋体" w:eastAsia="宋体"/>
        <w:sz w:val="28"/>
        <w:lang w:eastAsia="zh-CN"/>
      </w:rPr>
    </w:pPr>
    <w:r>
      <w:rPr>
        <w:rStyle w:val="9"/>
        <w:rFonts w:ascii="宋体" w:hAnsi="宋体" w:eastAsia="宋体"/>
        <w:sz w:val="28"/>
      </w:rPr>
      <w:fldChar w:fldCharType="begin"/>
    </w:r>
    <w:r>
      <w:rPr>
        <w:rStyle w:val="9"/>
        <w:rFonts w:ascii="宋体" w:hAnsi="宋体" w:eastAsia="宋体"/>
        <w:sz w:val="28"/>
      </w:rPr>
      <w:instrText xml:space="preserve"> PAGE </w:instrText>
    </w:r>
    <w:r>
      <w:rPr>
        <w:rStyle w:val="9"/>
        <w:rFonts w:ascii="宋体" w:hAnsi="宋体" w:eastAsia="宋体"/>
        <w:sz w:val="28"/>
      </w:rPr>
      <w:fldChar w:fldCharType="separate"/>
    </w:r>
    <w:r>
      <w:rPr>
        <w:rStyle w:val="9"/>
        <w:rFonts w:ascii="宋体" w:hAnsi="宋体" w:eastAsia="宋体"/>
        <w:sz w:val="28"/>
      </w:rPr>
      <w:t>- 1 -</w:t>
    </w:r>
    <w:r>
      <w:rPr>
        <w:rStyle w:val="9"/>
        <w:rFonts w:ascii="宋体" w:hAnsi="宋体" w:eastAsia="宋体"/>
        <w:sz w:val="28"/>
      </w:rPr>
      <w:fldChar w:fldCharType="end"/>
    </w:r>
  </w:p>
  <w:p>
    <w:pPr>
      <w:pStyle w:val="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1756" w:y="37"/>
      <w:rPr>
        <w:rStyle w:val="9"/>
        <w:rFonts w:ascii="宋体" w:hAnsi="宋体" w:eastAsia="宋体"/>
        <w:sz w:val="28"/>
        <w:szCs w:val="28"/>
      </w:rPr>
    </w:pPr>
    <w:r>
      <w:rPr>
        <w:rStyle w:val="9"/>
        <w:rFonts w:ascii="宋体" w:hAnsi="宋体" w:eastAsia="宋体"/>
        <w:sz w:val="28"/>
        <w:szCs w:val="28"/>
      </w:rPr>
      <w:fldChar w:fldCharType="begin"/>
    </w:r>
    <w:r>
      <w:rPr>
        <w:rStyle w:val="9"/>
        <w:rFonts w:ascii="宋体" w:hAnsi="宋体" w:eastAsia="宋体"/>
        <w:sz w:val="28"/>
        <w:szCs w:val="28"/>
      </w:rPr>
      <w:instrText xml:space="preserve">PAGE  </w:instrText>
    </w:r>
    <w:r>
      <w:rPr>
        <w:rStyle w:val="9"/>
        <w:rFonts w:ascii="宋体" w:hAnsi="宋体" w:eastAsia="宋体"/>
        <w:sz w:val="28"/>
        <w:szCs w:val="28"/>
      </w:rPr>
      <w:fldChar w:fldCharType="separate"/>
    </w:r>
    <w:r>
      <w:rPr>
        <w:rStyle w:val="9"/>
        <w:rFonts w:ascii="宋体" w:hAnsi="宋体" w:eastAsia="宋体"/>
        <w:sz w:val="28"/>
        <w:szCs w:val="28"/>
      </w:rPr>
      <w:t>-12-</w:t>
    </w:r>
    <w:r>
      <w:rPr>
        <w:rStyle w:val="9"/>
        <w:rFonts w:ascii="宋体" w:hAnsi="宋体" w:eastAsia="宋体"/>
        <w:sz w:val="28"/>
        <w:szCs w:val="28"/>
      </w:rPr>
      <w:fldChar w:fldCharType="end"/>
    </w:r>
  </w:p>
  <w:p>
    <w:pPr>
      <w:pStyle w:val="4"/>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9"/>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5838"/>
    <w:rsid w:val="00080DEB"/>
    <w:rsid w:val="00083BBE"/>
    <w:rsid w:val="00083EBE"/>
    <w:rsid w:val="00091B9F"/>
    <w:rsid w:val="000A2EE8"/>
    <w:rsid w:val="000A497E"/>
    <w:rsid w:val="000A7773"/>
    <w:rsid w:val="000B08C5"/>
    <w:rsid w:val="000B206D"/>
    <w:rsid w:val="000B2C8D"/>
    <w:rsid w:val="000B6AD4"/>
    <w:rsid w:val="000B6C14"/>
    <w:rsid w:val="000B7C75"/>
    <w:rsid w:val="000C1474"/>
    <w:rsid w:val="000C7811"/>
    <w:rsid w:val="000D21F9"/>
    <w:rsid w:val="000E0AB3"/>
    <w:rsid w:val="000E21E6"/>
    <w:rsid w:val="000E65F1"/>
    <w:rsid w:val="000E73E7"/>
    <w:rsid w:val="000E75AE"/>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1B0E"/>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A5B02"/>
    <w:rsid w:val="005B3245"/>
    <w:rsid w:val="005B6754"/>
    <w:rsid w:val="005B75C0"/>
    <w:rsid w:val="005C3143"/>
    <w:rsid w:val="005D311B"/>
    <w:rsid w:val="005D61D8"/>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7149A"/>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214A9"/>
    <w:rsid w:val="007214DF"/>
    <w:rsid w:val="007220B1"/>
    <w:rsid w:val="007302C1"/>
    <w:rsid w:val="0073120F"/>
    <w:rsid w:val="007314F0"/>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21E76"/>
    <w:rsid w:val="008259BC"/>
    <w:rsid w:val="0083105A"/>
    <w:rsid w:val="00837040"/>
    <w:rsid w:val="008427AB"/>
    <w:rsid w:val="00847DCE"/>
    <w:rsid w:val="0085023C"/>
    <w:rsid w:val="00853966"/>
    <w:rsid w:val="00857827"/>
    <w:rsid w:val="00866A6C"/>
    <w:rsid w:val="008969FE"/>
    <w:rsid w:val="008A237C"/>
    <w:rsid w:val="008A2D2C"/>
    <w:rsid w:val="008A3633"/>
    <w:rsid w:val="008B2514"/>
    <w:rsid w:val="008B4607"/>
    <w:rsid w:val="008B5C78"/>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72457"/>
    <w:rsid w:val="00A86966"/>
    <w:rsid w:val="00A872D8"/>
    <w:rsid w:val="00A912CC"/>
    <w:rsid w:val="00A970D1"/>
    <w:rsid w:val="00AA57AE"/>
    <w:rsid w:val="00AB0AFB"/>
    <w:rsid w:val="00AC002C"/>
    <w:rsid w:val="00AC1DD9"/>
    <w:rsid w:val="00AC4218"/>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17C5"/>
    <w:rsid w:val="00B75463"/>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F54"/>
    <w:rsid w:val="00C04782"/>
    <w:rsid w:val="00C04F2D"/>
    <w:rsid w:val="00C238F0"/>
    <w:rsid w:val="00C25CC6"/>
    <w:rsid w:val="00C31297"/>
    <w:rsid w:val="00C61A9B"/>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50BA2"/>
    <w:rsid w:val="00F5664D"/>
    <w:rsid w:val="00F6771B"/>
    <w:rsid w:val="00F703C3"/>
    <w:rsid w:val="00F80799"/>
    <w:rsid w:val="00F81776"/>
    <w:rsid w:val="00F835AD"/>
    <w:rsid w:val="00F844FD"/>
    <w:rsid w:val="00F869A3"/>
    <w:rsid w:val="00F86FB3"/>
    <w:rsid w:val="00F97BF1"/>
    <w:rsid w:val="00FA29D8"/>
    <w:rsid w:val="00FA5F5D"/>
    <w:rsid w:val="00FB0BA6"/>
    <w:rsid w:val="00FC29A0"/>
    <w:rsid w:val="00FC6C17"/>
    <w:rsid w:val="00FE48DB"/>
    <w:rsid w:val="00FF3620"/>
    <w:rsid w:val="00FF3A84"/>
    <w:rsid w:val="01110239"/>
    <w:rsid w:val="028847F9"/>
    <w:rsid w:val="028A6FD1"/>
    <w:rsid w:val="03AA79F6"/>
    <w:rsid w:val="04250B35"/>
    <w:rsid w:val="04741FE5"/>
    <w:rsid w:val="04DB02C7"/>
    <w:rsid w:val="06B856EE"/>
    <w:rsid w:val="07FE5938"/>
    <w:rsid w:val="084604BC"/>
    <w:rsid w:val="08883825"/>
    <w:rsid w:val="09725983"/>
    <w:rsid w:val="0A382BB5"/>
    <w:rsid w:val="0AA4543A"/>
    <w:rsid w:val="0B9A1FDF"/>
    <w:rsid w:val="0BE61132"/>
    <w:rsid w:val="0C9B0DD6"/>
    <w:rsid w:val="0CE4791C"/>
    <w:rsid w:val="0CFF4DCE"/>
    <w:rsid w:val="0E063C64"/>
    <w:rsid w:val="0F4C7B96"/>
    <w:rsid w:val="0FFB575E"/>
    <w:rsid w:val="10845F1B"/>
    <w:rsid w:val="11463A00"/>
    <w:rsid w:val="11600918"/>
    <w:rsid w:val="11B0398F"/>
    <w:rsid w:val="13B960C5"/>
    <w:rsid w:val="152777F4"/>
    <w:rsid w:val="15C674B6"/>
    <w:rsid w:val="18D54A0D"/>
    <w:rsid w:val="1A4106A0"/>
    <w:rsid w:val="1A4F5437"/>
    <w:rsid w:val="1AB77CD0"/>
    <w:rsid w:val="1E807156"/>
    <w:rsid w:val="1EA657F6"/>
    <w:rsid w:val="1F097CB6"/>
    <w:rsid w:val="2166156B"/>
    <w:rsid w:val="21B02D83"/>
    <w:rsid w:val="22A236F5"/>
    <w:rsid w:val="23995975"/>
    <w:rsid w:val="2432220E"/>
    <w:rsid w:val="248303BA"/>
    <w:rsid w:val="24837E47"/>
    <w:rsid w:val="252E01AA"/>
    <w:rsid w:val="2680023E"/>
    <w:rsid w:val="29680352"/>
    <w:rsid w:val="2A020F75"/>
    <w:rsid w:val="2B007AEE"/>
    <w:rsid w:val="2BC14C56"/>
    <w:rsid w:val="2C1B026F"/>
    <w:rsid w:val="2CC61F55"/>
    <w:rsid w:val="2EF7452F"/>
    <w:rsid w:val="2F1D13B4"/>
    <w:rsid w:val="2FAA3DA6"/>
    <w:rsid w:val="30682E1F"/>
    <w:rsid w:val="30E210D2"/>
    <w:rsid w:val="311371D6"/>
    <w:rsid w:val="31EB64C9"/>
    <w:rsid w:val="336D0D6F"/>
    <w:rsid w:val="352E4BEC"/>
    <w:rsid w:val="37DD5594"/>
    <w:rsid w:val="38F24FA8"/>
    <w:rsid w:val="3A98342A"/>
    <w:rsid w:val="3AB6780E"/>
    <w:rsid w:val="3AD56D70"/>
    <w:rsid w:val="3B2920C2"/>
    <w:rsid w:val="3BE41ABD"/>
    <w:rsid w:val="3C5421A9"/>
    <w:rsid w:val="3D903B21"/>
    <w:rsid w:val="3F440741"/>
    <w:rsid w:val="41FC306C"/>
    <w:rsid w:val="44674FAF"/>
    <w:rsid w:val="44BE5554"/>
    <w:rsid w:val="451E0908"/>
    <w:rsid w:val="452C2D31"/>
    <w:rsid w:val="45D26E14"/>
    <w:rsid w:val="46A541B1"/>
    <w:rsid w:val="474A19E4"/>
    <w:rsid w:val="48C57772"/>
    <w:rsid w:val="49782886"/>
    <w:rsid w:val="4A6F0D28"/>
    <w:rsid w:val="4AAF085C"/>
    <w:rsid w:val="4AEB7E60"/>
    <w:rsid w:val="4B4B135B"/>
    <w:rsid w:val="4BC7055F"/>
    <w:rsid w:val="4CFC7DB2"/>
    <w:rsid w:val="4D453C2F"/>
    <w:rsid w:val="4E7C187D"/>
    <w:rsid w:val="508941AD"/>
    <w:rsid w:val="50E65530"/>
    <w:rsid w:val="51457139"/>
    <w:rsid w:val="51574DBD"/>
    <w:rsid w:val="51EC1DA8"/>
    <w:rsid w:val="52FC5524"/>
    <w:rsid w:val="532D7A17"/>
    <w:rsid w:val="54AF4562"/>
    <w:rsid w:val="54C9674B"/>
    <w:rsid w:val="556318EA"/>
    <w:rsid w:val="55A60AA1"/>
    <w:rsid w:val="56451615"/>
    <w:rsid w:val="57FC5774"/>
    <w:rsid w:val="59B332C9"/>
    <w:rsid w:val="5A44758A"/>
    <w:rsid w:val="5BEC4BB3"/>
    <w:rsid w:val="5C070B55"/>
    <w:rsid w:val="5CB96DCE"/>
    <w:rsid w:val="5CE61580"/>
    <w:rsid w:val="5D175666"/>
    <w:rsid w:val="5D556A3C"/>
    <w:rsid w:val="5D7B25C9"/>
    <w:rsid w:val="5ECB44B4"/>
    <w:rsid w:val="5EE2043C"/>
    <w:rsid w:val="602D2E37"/>
    <w:rsid w:val="61460FBE"/>
    <w:rsid w:val="61701530"/>
    <w:rsid w:val="62775810"/>
    <w:rsid w:val="62D83744"/>
    <w:rsid w:val="630F4048"/>
    <w:rsid w:val="63AA02E5"/>
    <w:rsid w:val="64700DE9"/>
    <w:rsid w:val="65C613BD"/>
    <w:rsid w:val="65FD118C"/>
    <w:rsid w:val="672322E9"/>
    <w:rsid w:val="682C3D89"/>
    <w:rsid w:val="68611305"/>
    <w:rsid w:val="6A162DE0"/>
    <w:rsid w:val="6A331428"/>
    <w:rsid w:val="6B2E5CB6"/>
    <w:rsid w:val="6B3D4886"/>
    <w:rsid w:val="6DF8675E"/>
    <w:rsid w:val="6EA80098"/>
    <w:rsid w:val="6F8D70FF"/>
    <w:rsid w:val="6FFE5011"/>
    <w:rsid w:val="7178734D"/>
    <w:rsid w:val="71791096"/>
    <w:rsid w:val="717B0C34"/>
    <w:rsid w:val="71FB78FD"/>
    <w:rsid w:val="7275064A"/>
    <w:rsid w:val="733F750B"/>
    <w:rsid w:val="735702E2"/>
    <w:rsid w:val="73D0458A"/>
    <w:rsid w:val="765F635A"/>
    <w:rsid w:val="76B73454"/>
    <w:rsid w:val="76D254BD"/>
    <w:rsid w:val="77727ACD"/>
    <w:rsid w:val="78071142"/>
    <w:rsid w:val="787434CC"/>
    <w:rsid w:val="79296B37"/>
    <w:rsid w:val="7A4C4C40"/>
    <w:rsid w:val="7AA0518E"/>
    <w:rsid w:val="7B041636"/>
    <w:rsid w:val="7CA86749"/>
    <w:rsid w:val="7EC92370"/>
    <w:rsid w:val="7F223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2"/>
    <w:semiHidden/>
    <w:unhideWhenUsed/>
    <w:qFormat/>
    <w:uiPriority w:val="99"/>
    <w:pPr>
      <w:jc w:val="left"/>
    </w:pPr>
  </w:style>
  <w:style w:type="paragraph" w:styleId="3">
    <w:name w:val="Balloon Text"/>
    <w:basedOn w:val="1"/>
    <w:link w:val="14"/>
    <w:semiHidden/>
    <w:unhideWhenUsed/>
    <w:qFormat/>
    <w:uiPriority w:val="99"/>
    <w:rPr>
      <w:sz w:val="18"/>
      <w:szCs w:val="18"/>
    </w:rPr>
  </w:style>
  <w:style w:type="paragraph" w:styleId="4">
    <w:name w:val="footer"/>
    <w:basedOn w:val="1"/>
    <w:link w:val="1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3"/>
    <w:semiHidden/>
    <w:unhideWhenUsed/>
    <w:qFormat/>
    <w:uiPriority w:val="99"/>
    <w:rPr>
      <w:b/>
      <w:bCs/>
    </w:rPr>
  </w:style>
  <w:style w:type="character" w:styleId="9">
    <w:name w:val="page number"/>
    <w:basedOn w:val="8"/>
    <w:qFormat/>
    <w:uiPriority w:val="0"/>
  </w:style>
  <w:style w:type="character" w:styleId="10">
    <w:name w:val="annotation reference"/>
    <w:basedOn w:val="8"/>
    <w:semiHidden/>
    <w:unhideWhenUsed/>
    <w:qFormat/>
    <w:uiPriority w:val="99"/>
    <w:rPr>
      <w:sz w:val="21"/>
      <w:szCs w:val="21"/>
    </w:rPr>
  </w:style>
  <w:style w:type="character" w:customStyle="1" w:styleId="11">
    <w:name w:val="页脚 Char"/>
    <w:basedOn w:val="8"/>
    <w:link w:val="4"/>
    <w:qFormat/>
    <w:uiPriority w:val="0"/>
    <w:rPr>
      <w:rFonts w:ascii="Times New Roman" w:hAnsi="Times New Roman" w:eastAsia="黑体" w:cs="Times New Roman"/>
      <w:snapToGrid w:val="0"/>
      <w:kern w:val="0"/>
      <w:sz w:val="18"/>
      <w:szCs w:val="18"/>
    </w:rPr>
  </w:style>
  <w:style w:type="character" w:customStyle="1" w:styleId="12">
    <w:name w:val="批注文字 Char"/>
    <w:basedOn w:val="8"/>
    <w:link w:val="2"/>
    <w:semiHidden/>
    <w:qFormat/>
    <w:uiPriority w:val="99"/>
    <w:rPr>
      <w:rFonts w:ascii="Times New Roman" w:hAnsi="Times New Roman" w:eastAsia="宋体" w:cs="Times New Roman"/>
      <w:szCs w:val="24"/>
    </w:rPr>
  </w:style>
  <w:style w:type="character" w:customStyle="1" w:styleId="13">
    <w:name w:val="批注主题 Char"/>
    <w:basedOn w:val="12"/>
    <w:link w:val="6"/>
    <w:semiHidden/>
    <w:qFormat/>
    <w:uiPriority w:val="99"/>
    <w:rPr>
      <w:rFonts w:ascii="Times New Roman" w:hAnsi="Times New Roman" w:eastAsia="宋体" w:cs="Times New Roman"/>
      <w:b/>
      <w:bCs/>
      <w:szCs w:val="24"/>
    </w:rPr>
  </w:style>
  <w:style w:type="character" w:customStyle="1" w:styleId="14">
    <w:name w:val="批注框文本 Char"/>
    <w:basedOn w:val="8"/>
    <w:link w:val="3"/>
    <w:semiHidden/>
    <w:qFormat/>
    <w:uiPriority w:val="99"/>
    <w:rPr>
      <w:rFonts w:ascii="Times New Roman" w:hAnsi="Times New Roman" w:eastAsia="宋体" w:cs="Times New Roman"/>
      <w:sz w:val="18"/>
      <w:szCs w:val="18"/>
    </w:rPr>
  </w:style>
  <w:style w:type="character" w:customStyle="1" w:styleId="15">
    <w:name w:val="页眉 Char"/>
    <w:basedOn w:val="8"/>
    <w:link w:val="5"/>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1150</Words>
  <Characters>6561</Characters>
  <Lines>54</Lines>
  <Paragraphs>15</Paragraphs>
  <TotalTime>1</TotalTime>
  <ScaleCrop>false</ScaleCrop>
  <LinksUpToDate>false</LinksUpToDate>
  <CharactersWithSpaces>7696</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2019-05-30T09:42:00Z</dcterms:created>
  <dc:creator>Administrator</dc:creator>
  <cp:lastModifiedBy></cp:lastModifiedBy>
  <dcterms:modified xsi:type="dcterms:W3CDTF">2020-04-03T14:23:54Z</dcterms:modified>
  <cp:revision>811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