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sz w:val="32"/>
          <w:szCs w:val="32"/>
          <w:lang w:eastAsia="zh-CN"/>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2018年度新疆喀什地区泽普县畜牧兽医站部门决算公开说明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ind w:firstLine="640" w:firstLineChars="200"/>
        <w:rPr>
          <w:rFonts w:hint="eastAsia" w:ascii="黑体" w:hAnsi="黑体" w:eastAsia="仿宋_GB2312" w:cs="宋体"/>
          <w:bCs/>
          <w:kern w:val="0"/>
          <w:sz w:val="32"/>
          <w:szCs w:val="32"/>
          <w:lang w:eastAsia="zh-CN"/>
        </w:rPr>
      </w:pPr>
      <w:r>
        <w:rPr>
          <w:rFonts w:hint="eastAsia" w:ascii="仿宋_GB2312" w:eastAsia="仿宋_GB2312"/>
          <w:sz w:val="32"/>
          <w:szCs w:val="32"/>
        </w:rPr>
        <w:t>负责实施动物疫病的监测、预警、预报、实验室诊断、流行病学调查、疫情报告；提出重大动物疫病防控技术方案；动物疫病预防的技术指导、技术培训、科普宣传；承担动物产品安全相关技术检测工作。</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新疆喀什地区泽普县畜牧兽医站</w:t>
      </w:r>
      <w:r>
        <w:rPr>
          <w:rFonts w:hint="eastAsia" w:ascii="仿宋_GB2312" w:eastAsia="仿宋_GB2312"/>
          <w:sz w:val="32"/>
          <w:szCs w:val="32"/>
        </w:rPr>
        <w:t>部门决算包括：</w:t>
      </w:r>
      <w:r>
        <w:rPr>
          <w:rFonts w:ascii="仿宋_GB2312" w:eastAsia="仿宋_GB2312"/>
          <w:sz w:val="32"/>
          <w:szCs w:val="32"/>
        </w:rPr>
        <w:t>新疆喀什地区泽普县畜牧兽医站</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新疆喀什地区泽普县畜牧兽医站</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新疆喀什地区泽普县畜牧兽医站</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251.39</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，与上年相比，增加35.11万元，增长16.23%，增加的主要原因是：</w:t>
      </w:r>
      <w:r>
        <w:rPr>
          <w:rFonts w:hint="eastAsia" w:ascii="仿宋_GB2312" w:eastAsia="仿宋_GB2312"/>
          <w:color w:val="000000" w:themeColor="text1"/>
          <w:sz w:val="32"/>
          <w:szCs w:val="32"/>
        </w:rPr>
        <w:t>人员工资增加；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251.39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，与上年相比，增加35.11万元，增长16.23%，增加的主要原因是：</w:t>
      </w:r>
      <w:r>
        <w:rPr>
          <w:rFonts w:hint="eastAsia" w:ascii="仿宋_GB2312" w:eastAsia="仿宋_GB2312"/>
          <w:color w:val="000000" w:themeColor="text1"/>
          <w:sz w:val="32"/>
          <w:szCs w:val="32"/>
        </w:rPr>
        <w:t>人员工资增加；</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w:t>
      </w:r>
      <w:r>
        <w:rPr>
          <w:rFonts w:ascii="仿宋_GB2312" w:eastAsia="仿宋_GB2312"/>
          <w:color w:val="000000" w:themeColor="text1"/>
          <w:sz w:val="32"/>
          <w:szCs w:val="32"/>
        </w:rPr>
        <w:t>单位为全额事业财政补助二级预算单位，没有年度结余资金。</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251.39</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251.39</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况：本年收入年初预算数243.97万元</w:t>
      </w:r>
      <w:r>
        <w:rPr>
          <w:rFonts w:hint="eastAsia" w:ascii="仿宋_GB2312" w:eastAsia="仿宋_GB2312"/>
          <w:sz w:val="32"/>
          <w:szCs w:val="32"/>
        </w:rPr>
        <w:t>，决算数251.39万元</w:t>
      </w:r>
      <w:r>
        <w:rPr>
          <w:rFonts w:ascii="仿宋_GB2312" w:eastAsia="仿宋_GB2312"/>
          <w:sz w:val="32"/>
          <w:szCs w:val="32"/>
        </w:rPr>
        <w:t>，预决算差异率3.04%，差异主要原因是人员工资增加。</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hint="eastAsia" w:ascii="仿宋_GB2312" w:eastAsia="仿宋_GB2312"/>
          <w:color w:val="000000" w:themeColor="text1"/>
          <w:spacing w:val="-6"/>
          <w:sz w:val="32"/>
          <w:szCs w:val="32"/>
          <w:lang w:val="en-US" w:eastAsia="zh-CN"/>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251.39</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251.39</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与年初预算数相比情况：本年支出年初预算数243.97万元，</w:t>
      </w:r>
      <w:r>
        <w:rPr>
          <w:rFonts w:hint="eastAsia" w:ascii="仿宋_GB2312" w:eastAsia="仿宋_GB2312"/>
          <w:sz w:val="32"/>
          <w:szCs w:val="32"/>
        </w:rPr>
        <w:t>决算数251.39万元</w:t>
      </w:r>
      <w:r>
        <w:rPr>
          <w:rFonts w:ascii="仿宋_GB2312" w:eastAsia="仿宋_GB2312"/>
          <w:sz w:val="32"/>
          <w:szCs w:val="32"/>
        </w:rPr>
        <w:t>，预决算差异率3.04%，差异主要原因是人员工资增加。</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251.39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，与上年相比，增加35.11万元，增长16.23%，增加的主要原因是：人员工资增加。</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251.39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，与上年相比，增加35.11万元，增长16.23%，增加的主要原因是：</w:t>
      </w:r>
      <w:r>
        <w:rPr>
          <w:rFonts w:ascii="仿宋_GB2312" w:eastAsia="仿宋_GB2312"/>
          <w:sz w:val="32"/>
          <w:szCs w:val="32"/>
        </w:rPr>
        <w:t>人员工资增加。</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251.39</w:t>
      </w:r>
      <w:r>
        <w:rPr>
          <w:rFonts w:hint="eastAsia" w:ascii="仿宋_GB2312" w:eastAsia="仿宋_GB2312"/>
          <w:color w:val="000000" w:themeColor="text1"/>
          <w:sz w:val="32"/>
          <w:szCs w:val="32"/>
        </w:rPr>
        <w:t>万元，项目支出</w:t>
      </w:r>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，与上年相比无变化，主要原因是：人员工资增加。</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243.97</w:t>
      </w:r>
      <w:r>
        <w:rPr>
          <w:rFonts w:hint="eastAsia" w:ascii="仿宋_GB2312" w:eastAsia="仿宋_GB2312"/>
          <w:color w:val="000000" w:themeColor="text1"/>
          <w:sz w:val="32"/>
          <w:szCs w:val="32"/>
        </w:rPr>
        <w:t>万元，决算数</w:t>
      </w:r>
      <w:r>
        <w:rPr>
          <w:rFonts w:hint="eastAsia" w:ascii="仿宋_GB2312" w:eastAsia="仿宋_GB2312"/>
          <w:sz w:val="32"/>
          <w:szCs w:val="32"/>
        </w:rPr>
        <w:t>251.39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，预决算差异率3.04%，差异主要原因是人员工资增加。</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243.97</w:t>
      </w:r>
      <w:r>
        <w:rPr>
          <w:rFonts w:hint="eastAsia" w:ascii="仿宋_GB2312" w:eastAsia="仿宋_GB2312"/>
          <w:color w:val="000000" w:themeColor="text1"/>
          <w:sz w:val="32"/>
          <w:szCs w:val="32"/>
        </w:rPr>
        <w:t>万元，决算数</w:t>
      </w:r>
      <w:r>
        <w:rPr>
          <w:rFonts w:hint="eastAsia" w:ascii="仿宋_GB2312" w:eastAsia="仿宋_GB2312"/>
          <w:sz w:val="32"/>
          <w:szCs w:val="32"/>
        </w:rPr>
        <w:t>251.39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，预决算差异率3.04%，差异主要原因是人员工资增加。</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251.39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，与上年相比，增加35.11万元，增长16.23%，增加的主要原因是：人员工资增加。</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251.39</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，与上年相比，增加35.11万元，增长16.23%，增加的主要原因是：人员工资增加。</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住房保障支出17.14万元,农林水支出205.88万元,社会保障和就业支出28.37万元。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工资福利支出241.44万元,商品和服务支出5.89万元,对个人和家庭的补助4.07万元。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243.97</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251.39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，预决算差异率3.04%，差异主要原因是人员工资增加。</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243.97</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251.39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，预决算差异率3.04%，差异主要原因是人员工资增加。</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，与上年相比无变化，主要原因是：无政府性基金项目。</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，与上年相比无变化，主要原因是：无政府性基金项目。</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，预决算差异率0%，差异主要原因是无政府性基金项目。</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，预决算差异率0%，差异主要原因是无政府性基金项目。</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，与上年相比，增加0.15万元，增长5.26%，增加的主要原因是：2017年年初预算交通费没有及时支出完。</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0%，与上年相比无变化，主要原因是：本单位无因公出国（境）费支出；</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3</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100%，与上年相比，增加0.15万元，增长5.26%，增加的主要原因是：用于单位车辆燃油费和保险；</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w:t>
      </w:r>
      <w:r>
        <w:rPr>
          <w:rFonts w:hint="eastAsia" w:ascii="仿宋_GB2312" w:eastAsia="仿宋_GB2312"/>
          <w:sz w:val="32"/>
          <w:szCs w:val="32"/>
          <w:lang w:eastAsia="zh-CN"/>
        </w:rPr>
        <w:t>无</w:t>
      </w:r>
      <w:r>
        <w:rPr>
          <w:rFonts w:hint="eastAsia" w:ascii="仿宋_GB2312" w:eastAsia="仿宋_GB2312"/>
          <w:color w:val="000000" w:themeColor="text1"/>
          <w:sz w:val="32"/>
          <w:szCs w:val="32"/>
        </w:rPr>
        <w:t>公务接待费</w:t>
      </w:r>
      <w:r>
        <w:rPr>
          <w:rFonts w:hint="eastAsia" w:ascii="仿宋_GB2312" w:eastAsia="仿宋_GB2312"/>
          <w:sz w:val="32"/>
          <w:szCs w:val="32"/>
        </w:rPr>
        <w:t>。</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新疆喀什地区泽普县畜牧兽医站</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4"/>
      <w:bookmarkStart w:id="69" w:name="OLE_LINK35"/>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本单位无因公出国（境）费支出。</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3</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3</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主要用于单位车辆燃油费和保险</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2</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无公务接待费支出。</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新疆喀什地区泽普县畜牧兽医站</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3</w:t>
      </w:r>
      <w:r>
        <w:rPr>
          <w:rFonts w:hint="eastAsia" w:ascii="仿宋_GB2312" w:eastAsia="仿宋_GB2312"/>
          <w:color w:val="000000" w:themeColor="text1"/>
          <w:sz w:val="32"/>
          <w:szCs w:val="32"/>
        </w:rPr>
        <w:t>万元，决算数3万元</w:t>
      </w:r>
      <w:r>
        <w:rPr>
          <w:rFonts w:ascii="仿宋_GB2312" w:eastAsia="仿宋_GB2312"/>
          <w:color w:val="000000" w:themeColor="text1"/>
          <w:sz w:val="32"/>
          <w:szCs w:val="32"/>
        </w:rPr>
        <w:t>，预决算差异率0%，差异主要原因是无差异</w:t>
      </w:r>
      <w:bookmarkEnd w:id="80"/>
      <w:bookmarkStart w:id="81" w:name="OLE_LINK87"/>
      <w:bookmarkStart w:id="82" w:name="OLE_LINK86"/>
      <w:r>
        <w:rPr>
          <w:rFonts w:hint="eastAsia" w:ascii="仿宋_GB2312" w:eastAsia="仿宋_GB2312"/>
          <w:color w:val="000000" w:themeColor="text1"/>
          <w:sz w:val="32"/>
          <w:szCs w:val="32"/>
          <w:lang w:eastAsia="zh-CN"/>
        </w:rPr>
        <w:t>。</w:t>
      </w:r>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，预决算差异率0%，差异主要原因是本单位无因公出国（境）费支出；</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，预决算差异率0%，差异主要原因是本单位无新增公务用车购置数；</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3</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2018年度无公务接待费。</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新疆喀什地区泽普县畜牧兽医站日常公用经费5.89万元，与上年相比，减少0.75万元，下降11.3%，减少的主要原因是：人员公用经费压缩。</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2</w:t>
      </w:r>
      <w:r>
        <w:rPr>
          <w:rFonts w:hint="eastAsia" w:ascii="仿宋_GB2312" w:eastAsia="仿宋_GB2312"/>
          <w:color w:val="000000" w:themeColor="text1"/>
          <w:sz w:val="32"/>
          <w:szCs w:val="32"/>
        </w:rPr>
        <w:t>辆，价值</w:t>
      </w:r>
      <w:r>
        <w:rPr>
          <w:rFonts w:hint="eastAsia" w:ascii="仿宋_GB2312" w:eastAsia="仿宋_GB2312"/>
          <w:sz w:val="32"/>
          <w:szCs w:val="32"/>
        </w:rPr>
        <w:t>38.45</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2</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单位公务用车和专业改良用车；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2018年度，本部门单位预算绩效自评情况：</w:t>
      </w:r>
      <w:r>
        <w:rPr>
          <w:rFonts w:hint="eastAsia" w:ascii="仿宋_GB2312" w:eastAsia="仿宋_GB2312"/>
          <w:sz w:val="32"/>
          <w:szCs w:val="32"/>
          <w:lang w:eastAsia="zh-CN"/>
        </w:rPr>
        <w:t>本单位</w:t>
      </w:r>
      <w:r>
        <w:rPr>
          <w:rFonts w:hint="eastAsia" w:ascii="仿宋_GB2312" w:eastAsia="仿宋_GB2312"/>
          <w:sz w:val="32"/>
          <w:szCs w:val="32"/>
          <w:lang w:val="en-US" w:eastAsia="zh-CN"/>
        </w:rPr>
        <w:t>2018年度无项目，无项目绩效。</w:t>
      </w:r>
      <w:bookmarkStart w:id="92" w:name="_GoBack"/>
      <w:bookmarkEnd w:id="92"/>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213（类）01（款）04（项）指：事业运行。221（类）02（款）01（项）指：住房公积金。208（类）05（款）05（项）指：机关事业单位基本养老保险缴费支出。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-12-</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ED77C98"/>
    <w:rsid w:val="1F097CB6"/>
    <w:rsid w:val="2166156B"/>
    <w:rsid w:val="21B02D83"/>
    <w:rsid w:val="22A236F5"/>
    <w:rsid w:val="23995975"/>
    <w:rsid w:val="23DD0EFF"/>
    <w:rsid w:val="2432220E"/>
    <w:rsid w:val="248303BA"/>
    <w:rsid w:val="24837E47"/>
    <w:rsid w:val="252E01AA"/>
    <w:rsid w:val="2680023E"/>
    <w:rsid w:val="29680352"/>
    <w:rsid w:val="2A020F75"/>
    <w:rsid w:val="2B007AEE"/>
    <w:rsid w:val="2BC14C56"/>
    <w:rsid w:val="2C1B026F"/>
    <w:rsid w:val="2C265D34"/>
    <w:rsid w:val="2CC61F55"/>
    <w:rsid w:val="2EF7452F"/>
    <w:rsid w:val="2F1D13B4"/>
    <w:rsid w:val="2FAA3DA6"/>
    <w:rsid w:val="30682E1F"/>
    <w:rsid w:val="30E210D2"/>
    <w:rsid w:val="311371D6"/>
    <w:rsid w:val="31EB64C9"/>
    <w:rsid w:val="32BD6FFF"/>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47700F"/>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952534"/>
    <w:rsid w:val="55A60AA1"/>
    <w:rsid w:val="56451615"/>
    <w:rsid w:val="57FC5774"/>
    <w:rsid w:val="598B15B3"/>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C582C48"/>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semiHidden/>
    <w:unhideWhenUsed/>
    <w:qFormat/>
    <w:uiPriority w:val="99"/>
    <w:rPr>
      <w:b/>
      <w:bCs/>
    </w:rPr>
  </w:style>
  <w:style w:type="paragraph" w:styleId="3">
    <w:name w:val="annotation text"/>
    <w:basedOn w:val="1"/>
    <w:link w:val="12"/>
    <w:semiHidden/>
    <w:unhideWhenUsed/>
    <w:qFormat/>
    <w:uiPriority w:val="99"/>
    <w:pPr>
      <w:jc w:val="left"/>
    </w:pPr>
  </w:style>
  <w:style w:type="paragraph" w:styleId="4">
    <w:name w:val="Balloon Text"/>
    <w:basedOn w:val="1"/>
    <w:link w:val="14"/>
    <w:semiHidden/>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semiHidden/>
    <w:unhideWhenUsed/>
    <w:qFormat/>
    <w:uiPriority w:val="99"/>
    <w:rPr>
      <w:sz w:val="21"/>
      <w:szCs w:val="21"/>
    </w:rPr>
  </w:style>
  <w:style w:type="character" w:customStyle="1" w:styleId="11">
    <w:name w:val="页脚 Char"/>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Char"/>
    <w:basedOn w:val="7"/>
    <w:link w:val="3"/>
    <w:semiHidden/>
    <w:qFormat/>
    <w:uiPriority w:val="99"/>
    <w:rPr>
      <w:rFonts w:ascii="Times New Roman" w:hAnsi="Times New Roman" w:eastAsia="宋体" w:cs="Times New Roman"/>
      <w:szCs w:val="24"/>
    </w:rPr>
  </w:style>
  <w:style w:type="character" w:customStyle="1" w:styleId="13">
    <w:name w:val="批注主题 Char"/>
    <w:basedOn w:val="12"/>
    <w:link w:val="2"/>
    <w:semiHidden/>
    <w:qFormat/>
    <w:uiPriority w:val="99"/>
    <w:rPr>
      <w:rFonts w:ascii="Times New Roman" w:hAnsi="Times New Roman" w:eastAsia="宋体" w:cs="Times New Roman"/>
      <w:b/>
      <w:bCs/>
      <w:szCs w:val="24"/>
    </w:rPr>
  </w:style>
  <w:style w:type="character" w:customStyle="1" w:styleId="14">
    <w:name w:val="批注框文本 Char"/>
    <w:basedOn w:val="7"/>
    <w:link w:val="4"/>
    <w:semiHidden/>
    <w:qFormat/>
    <w:uiPriority w:val="99"/>
    <w:rPr>
      <w:rFonts w:ascii="Times New Roman" w:hAnsi="Times New Roman" w:eastAsia="宋体" w:cs="Times New Roman"/>
      <w:sz w:val="18"/>
      <w:szCs w:val="18"/>
    </w:rPr>
  </w:style>
  <w:style w:type="character" w:customStyle="1" w:styleId="15">
    <w:name w:val="页眉 Char"/>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3</TotalTime>
  <ScaleCrop>false</ScaleCrop>
  <LinksUpToDate>false</LinksUpToDate>
  <CharactersWithSpaces>7696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cp:lastModifiedBy>
  <dcterms:modified xsi:type="dcterms:W3CDTF">2019-11-22T05:32:34Z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