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新疆</w:t>
      </w:r>
      <w:r>
        <w:rPr>
          <w:rFonts w:hint="eastAsia" w:ascii="方正小标宋_GBK" w:hAnsi="华文中宋" w:eastAsia="方正小标宋_GBK" w:cs="宋体"/>
          <w:b/>
          <w:kern w:val="0"/>
          <w:sz w:val="48"/>
          <w:szCs w:val="48"/>
        </w:rPr>
        <w:t>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2"/>
        <w:rPr>
          <w:rFonts w:hAnsi="宋体" w:eastAsia="仿宋_GB2312" w:cs="宋体"/>
          <w:kern w:val="0"/>
          <w:sz w:val="30"/>
          <w:szCs w:val="30"/>
        </w:rPr>
      </w:pPr>
    </w:p>
    <w:p>
      <w:pPr>
        <w:rPr>
          <w:rFonts w:hAnsi="宋体" w:eastAsia="仿宋_GB2312" w:cs="宋体"/>
          <w:kern w:val="0"/>
          <w:sz w:val="30"/>
          <w:szCs w:val="30"/>
        </w:rPr>
      </w:pPr>
    </w:p>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2"/>
        <w:rPr>
          <w:rFonts w:hAnsi="宋体" w:eastAsia="仿宋_GB2312" w:cs="宋体"/>
          <w:kern w:val="0"/>
          <w:sz w:val="30"/>
          <w:szCs w:val="30"/>
        </w:rPr>
      </w:pPr>
    </w:p>
    <w:p>
      <w:pPr>
        <w:rPr>
          <w:rFonts w:hAnsi="宋体" w:eastAsia="仿宋_GB2312" w:cs="宋体"/>
          <w:kern w:val="0"/>
          <w:sz w:val="30"/>
          <w:szCs w:val="30"/>
        </w:rPr>
      </w:pPr>
    </w:p>
    <w:p>
      <w:pPr>
        <w:pStyle w:val="2"/>
      </w:pPr>
      <w:bookmarkStart w:id="0" w:name="_GoBack"/>
      <w:bookmarkEnd w:id="0"/>
    </w:p>
    <w:p>
      <w:pPr>
        <w:spacing w:line="700" w:lineRule="exact"/>
        <w:jc w:val="left"/>
        <w:rPr>
          <w:rStyle w:val="18"/>
          <w:rFonts w:hint="eastAsia" w:ascii="仿宋" w:hAnsi="仿宋" w:eastAsia="仿宋"/>
          <w:b w:val="0"/>
          <w:spacing w:val="-4"/>
          <w:sz w:val="32"/>
          <w:szCs w:val="32"/>
        </w:rPr>
      </w:pPr>
      <w:r>
        <w:rPr>
          <w:rFonts w:hint="eastAsia" w:hAnsi="宋体" w:eastAsia="仿宋_GB2312" w:cs="宋体"/>
          <w:kern w:val="0"/>
          <w:sz w:val="36"/>
          <w:szCs w:val="36"/>
        </w:rPr>
        <w:t xml:space="preserve">     项目名称：</w:t>
      </w:r>
      <w:r>
        <w:rPr>
          <w:rStyle w:val="18"/>
          <w:rFonts w:hint="eastAsia" w:ascii="仿宋" w:hAnsi="仿宋" w:eastAsia="仿宋"/>
          <w:b w:val="0"/>
          <w:spacing w:val="-4"/>
          <w:sz w:val="32"/>
          <w:szCs w:val="32"/>
        </w:rPr>
        <w:t>201</w:t>
      </w:r>
      <w:r>
        <w:rPr>
          <w:rStyle w:val="18"/>
          <w:rFonts w:hint="eastAsia" w:ascii="仿宋" w:hAnsi="仿宋" w:eastAsia="仿宋"/>
          <w:b w:val="0"/>
          <w:spacing w:val="-4"/>
          <w:sz w:val="32"/>
          <w:szCs w:val="32"/>
          <w:lang w:val="en-US" w:eastAsia="zh-CN"/>
        </w:rPr>
        <w:t>8</w:t>
      </w:r>
      <w:r>
        <w:rPr>
          <w:rStyle w:val="18"/>
          <w:rFonts w:hint="eastAsia" w:ascii="仿宋" w:hAnsi="仿宋" w:eastAsia="仿宋"/>
          <w:b w:val="0"/>
          <w:spacing w:val="-4"/>
          <w:sz w:val="32"/>
          <w:szCs w:val="32"/>
        </w:rPr>
        <w:t>年大中型水库移民后期扶持资金项目</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泽普县扶贫开发办公室</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泽普县扶贫开发办公室</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陈新文</w:t>
      </w:r>
    </w:p>
    <w:p>
      <w:pPr>
        <w:spacing w:line="700" w:lineRule="exact"/>
        <w:ind w:firstLine="849" w:firstLineChars="236"/>
        <w:jc w:val="left"/>
        <w:rPr>
          <w:rStyle w:val="18"/>
          <w:rFonts w:ascii="黑体" w:hAnsi="黑体" w:eastAsia="黑体"/>
          <w:b w:val="0"/>
          <w:spacing w:val="-4"/>
          <w:sz w:val="32"/>
          <w:szCs w:val="32"/>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24" w:firstLineChars="200"/>
        <w:rPr>
          <w:rStyle w:val="18"/>
          <w:rFonts w:ascii="楷体" w:hAnsi="楷体" w:eastAsia="楷体"/>
          <w:spacing w:val="-4"/>
          <w:sz w:val="32"/>
          <w:szCs w:val="32"/>
        </w:rPr>
      </w:pPr>
      <w:r>
        <w:rPr>
          <w:rStyle w:val="18"/>
          <w:rFonts w:hint="eastAsia" w:ascii="仿宋" w:hAnsi="仿宋" w:eastAsia="仿宋"/>
          <w:b w:val="0"/>
          <w:spacing w:val="-4"/>
          <w:sz w:val="32"/>
          <w:szCs w:val="32"/>
        </w:rPr>
        <w:t>贯彻执行国家、自治区、地区扶贫开发和移民后期扶持工作方针政策，研究制定泽普县扶贫开发战略规划，负责组织、编制和制定县扶贫开发规划和年度计划，制定完善扶贫专项资金、物资管理办法，提出县年度扶贫开发项目计划，做好项目实施的组织、协调、检查、监督以及落实，组织实施产业化扶贫计划，引导、扶持扶贫龙头企业发，协调管理信贷扶贫工作，争取外部资金对泽普县援助并组织实施外资扶贫项目，制定县扶贫标准方案，对扶贫开发情况进行统计和动态监测，负责贫困户建档立卡管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rPr>
        <w:t>本项目性质为延续项目</w:t>
      </w:r>
      <w:r>
        <w:rPr>
          <w:rStyle w:val="18"/>
          <w:rFonts w:hint="eastAsia" w:ascii="仿宋" w:hAnsi="仿宋" w:eastAsia="仿宋" w:cs="Times New Roman"/>
          <w:b w:val="0"/>
          <w:spacing w:val="-4"/>
          <w:sz w:val="32"/>
          <w:szCs w:val="32"/>
          <w:lang w:eastAsia="zh-CN"/>
        </w:rPr>
        <w:t>，</w:t>
      </w:r>
      <w:r>
        <w:rPr>
          <w:rStyle w:val="18"/>
          <w:rFonts w:hint="eastAsia" w:ascii="仿宋" w:hAnsi="仿宋" w:eastAsia="仿宋" w:cs="Times New Roman"/>
          <w:b w:val="0"/>
          <w:spacing w:val="-4"/>
          <w:sz w:val="32"/>
          <w:szCs w:val="32"/>
          <w:lang w:val="en-US" w:eastAsia="zh-CN"/>
        </w:rPr>
        <w:t>按照国家规定标准，及时足额发放水库移民直补资金，标准为每人每年600元。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cs="Times New Roman"/>
          <w:b w:val="0"/>
          <w:spacing w:val="-4"/>
          <w:sz w:val="32"/>
          <w:szCs w:val="32"/>
        </w:rPr>
      </w:pPr>
      <w:r>
        <w:rPr>
          <w:rStyle w:val="18"/>
          <w:rFonts w:hint="eastAsia" w:ascii="仿宋" w:hAnsi="仿宋" w:eastAsia="仿宋" w:cs="Times New Roman"/>
          <w:b w:val="0"/>
          <w:spacing w:val="-4"/>
          <w:sz w:val="32"/>
          <w:szCs w:val="32"/>
          <w:lang w:eastAsia="zh-CN"/>
        </w:rPr>
        <w:t>该</w:t>
      </w:r>
      <w:r>
        <w:rPr>
          <w:rStyle w:val="18"/>
          <w:rFonts w:hint="eastAsia" w:ascii="仿宋" w:hAnsi="仿宋" w:eastAsia="仿宋" w:cs="Times New Roman"/>
          <w:b w:val="0"/>
          <w:spacing w:val="-4"/>
          <w:sz w:val="32"/>
          <w:szCs w:val="32"/>
        </w:rPr>
        <w:t>项目预算安排总额为</w:t>
      </w:r>
      <w:r>
        <w:rPr>
          <w:rStyle w:val="18"/>
          <w:rFonts w:hint="eastAsia" w:ascii="仿宋" w:hAnsi="仿宋" w:eastAsia="仿宋" w:cs="Times New Roman"/>
          <w:b w:val="0"/>
          <w:spacing w:val="-4"/>
          <w:sz w:val="32"/>
          <w:szCs w:val="32"/>
          <w:lang w:val="en-US" w:eastAsia="zh-CN"/>
        </w:rPr>
        <w:t>54000</w:t>
      </w:r>
      <w:r>
        <w:rPr>
          <w:rStyle w:val="18"/>
          <w:rFonts w:hint="eastAsia" w:ascii="仿宋" w:hAnsi="仿宋" w:eastAsia="仿宋" w:cs="Times New Roman"/>
          <w:b w:val="0"/>
          <w:spacing w:val="-4"/>
          <w:sz w:val="32"/>
          <w:szCs w:val="32"/>
        </w:rPr>
        <w:t>元，其中财政资金</w:t>
      </w:r>
      <w:r>
        <w:rPr>
          <w:rStyle w:val="18"/>
          <w:rFonts w:hint="eastAsia" w:ascii="仿宋" w:hAnsi="仿宋" w:eastAsia="仿宋" w:cs="Times New Roman"/>
          <w:b w:val="0"/>
          <w:spacing w:val="-4"/>
          <w:sz w:val="32"/>
          <w:szCs w:val="32"/>
          <w:lang w:val="en-US" w:eastAsia="zh-CN"/>
        </w:rPr>
        <w:t>54000</w:t>
      </w:r>
      <w:r>
        <w:rPr>
          <w:rStyle w:val="18"/>
          <w:rFonts w:hint="eastAsia" w:ascii="仿宋" w:hAnsi="仿宋" w:eastAsia="仿宋" w:cs="Times New Roman"/>
          <w:b w:val="0"/>
          <w:spacing w:val="-4"/>
          <w:sz w:val="32"/>
          <w:szCs w:val="32"/>
        </w:rPr>
        <w:t>元，2018年实际收到预算资金</w:t>
      </w:r>
      <w:r>
        <w:rPr>
          <w:rStyle w:val="18"/>
          <w:rFonts w:hint="eastAsia" w:ascii="仿宋" w:hAnsi="仿宋" w:eastAsia="仿宋" w:cs="Times New Roman"/>
          <w:b w:val="0"/>
          <w:spacing w:val="-4"/>
          <w:sz w:val="32"/>
          <w:szCs w:val="32"/>
          <w:lang w:val="en-US" w:eastAsia="zh-CN"/>
        </w:rPr>
        <w:t>54000</w:t>
      </w:r>
      <w:r>
        <w:rPr>
          <w:rStyle w:val="18"/>
          <w:rFonts w:hint="eastAsia" w:ascii="仿宋" w:hAnsi="仿宋" w:eastAsia="仿宋" w:cs="Times New Roman"/>
          <w:b w:val="0"/>
          <w:spacing w:val="-4"/>
          <w:sz w:val="32"/>
          <w:szCs w:val="32"/>
        </w:rPr>
        <w:t>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本项目实际支付资金50400元，预算执行率93%，结转资金3600元。项目资金主要用于发放2017年发放水库移民直补资金37800元，结转资金2400元；发放2018年发放水库移民直补资金112600元，结转资金1200元。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项目严格按照《新疆维吾尔自治区财政专项扶贫资金管理办法》及《喀什地区财政扶贫资金管理办法实施》程序执行报批手续，按照国库集中支付管理制度规定和程序拨付资金。资金的拨付有完整的审批程序和手续，不存在截留、挤占、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该项目属于发放直补资金项目,不存在招投标以及验收情况，发放补助资金时要实地对移民户的户口进行核对，凡户口迁出本县的取消发放。</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我县根据《自治区大中型水利水电工程移民后期扶持人口实名制管理的暂行办法》的通知文件开展大中型水库移民直补资金项目，凡本县纳入国家大中型水利水电工程移民后期扶持范围的人口实行实名制管理，建立“一村一帐、一户一档”制度。每一季度对移民人员进行核查后统一发放直补资金。</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本项目共设置一级指标3个，二级指标9个，三级指标12个，其中已完成三级指标10个，指标完成率为83%。</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经济性：根据项目实际情况，项目成本控制在54000元以内。</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效率性：2017年移民资金发放已在2018年6月底前发放完毕；2018年移民资金在2018年6月底前已发放完毕。</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效益性：通过实施2018年实施大中型水库移民直补资金以来，在我县库区和移民安置区产生了良好的社会效益，扶持资金直补到移民个人，给移民带来收入的直接“输血”，帮助移民解决生产、生活中的实际困难，移民人口增加纯收入600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spacing w:val="-4"/>
          <w:sz w:val="32"/>
          <w:szCs w:val="32"/>
          <w:lang w:eastAsia="zh-CN"/>
        </w:rPr>
      </w:pPr>
      <w:r>
        <w:rPr>
          <w:rFonts w:hint="eastAsia" w:ascii="仿宋" w:hAnsi="仿宋" w:eastAsia="仿宋"/>
          <w:spacing w:val="-4"/>
          <w:sz w:val="32"/>
          <w:szCs w:val="32"/>
          <w:lang w:eastAsia="zh-CN"/>
        </w:rPr>
        <w:t>发</w:t>
      </w:r>
      <w:r>
        <w:rPr>
          <w:rStyle w:val="18"/>
          <w:rFonts w:hint="eastAsia" w:ascii="仿宋" w:hAnsi="仿宋" w:eastAsia="仿宋" w:cs="Times New Roman"/>
          <w:b w:val="0"/>
          <w:spacing w:val="-4"/>
          <w:sz w:val="32"/>
          <w:szCs w:val="32"/>
          <w:lang w:eastAsia="zh-CN"/>
        </w:rPr>
        <w:t>放直补资金人员减少</w:t>
      </w:r>
      <w:r>
        <w:rPr>
          <w:rStyle w:val="18"/>
          <w:rFonts w:hint="eastAsia" w:ascii="仿宋" w:hAnsi="仿宋" w:eastAsia="仿宋" w:cs="Times New Roman"/>
          <w:b w:val="0"/>
          <w:spacing w:val="-4"/>
          <w:sz w:val="32"/>
          <w:szCs w:val="32"/>
          <w:lang w:val="en-US" w:eastAsia="zh-CN"/>
        </w:rPr>
        <w:t>6人</w:t>
      </w:r>
      <w:r>
        <w:rPr>
          <w:rStyle w:val="18"/>
          <w:rFonts w:hint="eastAsia" w:ascii="仿宋" w:hAnsi="仿宋" w:eastAsia="仿宋" w:cs="Times New Roman"/>
          <w:b w:val="0"/>
          <w:spacing w:val="-4"/>
          <w:sz w:val="32"/>
          <w:szCs w:val="32"/>
          <w:lang w:eastAsia="zh-CN"/>
        </w:rPr>
        <w:t>由于户口已迁出本县或已农转非，按照规定就不予再发放补助资金。</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24" w:firstLineChars="200"/>
        <w:rPr>
          <w:rStyle w:val="18"/>
          <w:rFonts w:hint="eastAsia" w:ascii="仿宋" w:hAnsi="仿宋" w:eastAsia="仿宋" w:cs="Times New Roman"/>
          <w:b w:val="0"/>
          <w:spacing w:val="-4"/>
          <w:sz w:val="32"/>
          <w:szCs w:val="32"/>
        </w:rPr>
      </w:pPr>
      <w:r>
        <w:rPr>
          <w:rStyle w:val="18"/>
          <w:rFonts w:hint="eastAsia" w:ascii="仿宋" w:hAnsi="仿宋" w:eastAsia="仿宋" w:cs="Times New Roman"/>
          <w:b w:val="0"/>
          <w:spacing w:val="-4"/>
          <w:sz w:val="32"/>
          <w:szCs w:val="32"/>
          <w:lang w:val="en-US" w:eastAsia="zh-CN"/>
        </w:rPr>
        <w:t>我县将继续严格按照《自治区大中型水利水电工程移民后期扶持人口实名制管理的暂行办法》的通知文件开展大中型水库移民直补资金项目，实名制管理，发放时每一季度对移民人员进行核查后在统一发放直补资金。</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存在的问题：当前只解决了移民户搬得出的问题，后续移民群众能留得住、能致富才还需加强。</w:t>
      </w:r>
    </w:p>
    <w:p>
      <w:pPr>
        <w:spacing w:line="540" w:lineRule="exact"/>
        <w:ind w:firstLine="624" w:firstLineChars="200"/>
        <w:rPr>
          <w:rStyle w:val="18"/>
          <w:rFonts w:hint="eastAsia" w:ascii="仿宋" w:hAnsi="仿宋" w:eastAsia="仿宋" w:cs="Times New Roman"/>
          <w:b w:val="0"/>
          <w:spacing w:val="-4"/>
          <w:sz w:val="32"/>
          <w:szCs w:val="32"/>
        </w:rPr>
      </w:pPr>
      <w:r>
        <w:rPr>
          <w:rStyle w:val="18"/>
          <w:rFonts w:hint="eastAsia" w:ascii="仿宋" w:hAnsi="仿宋" w:eastAsia="仿宋" w:cs="Times New Roman"/>
          <w:b w:val="0"/>
          <w:spacing w:val="-4"/>
          <w:sz w:val="32"/>
          <w:szCs w:val="32"/>
          <w:lang w:val="en-US" w:eastAsia="zh-CN"/>
        </w:rPr>
        <w:t>建议：要解决上述问题需要在县委、政府的正确领导下，全县各行业部门齐心协力，全力以赴去完成。但我县在移民群众留得住和能致富方面还需要投入更多的举措、更加有力的措施去解决。</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24" w:firstLineChars="200"/>
        <w:rPr>
          <w:rStyle w:val="18"/>
          <w:rFonts w:hint="eastAsia" w:ascii="仿宋" w:hAnsi="仿宋" w:eastAsia="仿宋" w:cs="Times New Roman"/>
          <w:b w:val="0"/>
          <w:spacing w:val="-4"/>
          <w:sz w:val="32"/>
          <w:szCs w:val="32"/>
        </w:rPr>
      </w:pPr>
      <w:r>
        <w:rPr>
          <w:rStyle w:val="18"/>
          <w:rFonts w:hint="eastAsia" w:ascii="仿宋" w:hAnsi="仿宋" w:eastAsia="仿宋" w:cs="Times New Roman"/>
          <w:b w:val="0"/>
          <w:spacing w:val="-4"/>
          <w:sz w:val="32"/>
          <w:szCs w:val="32"/>
        </w:rPr>
        <w:t>无其他说明内容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24" w:firstLineChars="200"/>
        <w:rPr>
          <w:rStyle w:val="18"/>
          <w:rFonts w:hint="eastAsia" w:ascii="仿宋" w:hAnsi="仿宋" w:eastAsia="仿宋" w:cs="Times New Roman"/>
          <w:b w:val="0"/>
          <w:spacing w:val="-4"/>
          <w:sz w:val="32"/>
          <w:szCs w:val="32"/>
        </w:rPr>
      </w:pPr>
      <w:r>
        <w:rPr>
          <w:rStyle w:val="18"/>
          <w:rFonts w:hint="eastAsia" w:ascii="仿宋" w:hAnsi="仿宋" w:eastAsia="仿宋" w:cs="Times New Roman"/>
          <w:b w:val="0"/>
          <w:spacing w:val="-4"/>
          <w:sz w:val="32"/>
          <w:szCs w:val="32"/>
        </w:rPr>
        <w:t>本次评价通过文件研读、实地调研、数据分析等方式，全面了解</w:t>
      </w:r>
      <w:r>
        <w:rPr>
          <w:rStyle w:val="18"/>
          <w:rFonts w:hint="eastAsia" w:ascii="仿宋" w:hAnsi="仿宋" w:eastAsia="仿宋" w:cs="Times New Roman"/>
          <w:b w:val="0"/>
          <w:spacing w:val="-4"/>
          <w:sz w:val="32"/>
          <w:szCs w:val="32"/>
          <w:lang w:eastAsia="zh-CN"/>
        </w:rPr>
        <w:t>该</w:t>
      </w:r>
      <w:r>
        <w:rPr>
          <w:rStyle w:val="18"/>
          <w:rFonts w:hint="eastAsia" w:ascii="仿宋" w:hAnsi="仿宋" w:eastAsia="仿宋" w:cs="Times New Roman"/>
          <w:b w:val="0"/>
          <w:spacing w:val="-4"/>
          <w:sz w:val="32"/>
          <w:szCs w:val="32"/>
        </w:rPr>
        <w:t>项目资金的使用效率和效果，项目管理过程规范，完成了预期绩效目标等。同时，通过开展自我评价来总结经验和教训，为</w:t>
      </w:r>
      <w:r>
        <w:rPr>
          <w:rStyle w:val="18"/>
          <w:rFonts w:hint="eastAsia" w:ascii="仿宋" w:hAnsi="仿宋" w:eastAsia="仿宋" w:cs="Times New Roman"/>
          <w:b w:val="0"/>
          <w:spacing w:val="-4"/>
          <w:sz w:val="32"/>
          <w:szCs w:val="32"/>
          <w:lang w:eastAsia="zh-CN"/>
        </w:rPr>
        <w:t>泽普县</w:t>
      </w:r>
      <w:r>
        <w:rPr>
          <w:rStyle w:val="18"/>
          <w:rFonts w:hint="eastAsia" w:ascii="仿宋" w:hAnsi="仿宋" w:eastAsia="仿宋" w:cs="Times New Roman"/>
          <w:b w:val="0"/>
          <w:spacing w:val="-4"/>
          <w:sz w:val="32"/>
          <w:szCs w:val="32"/>
        </w:rPr>
        <w:t>大中型水库移民后期扶持资金项目今后的开展提供参考建议。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624" w:firstLineChars="200"/>
        <w:rPr>
          <w:rStyle w:val="18"/>
          <w:rFonts w:hint="eastAsia" w:ascii="仿宋" w:hAnsi="仿宋" w:eastAsia="仿宋" w:cs="Times New Roman"/>
          <w:b w:val="0"/>
          <w:spacing w:val="-4"/>
          <w:sz w:val="32"/>
          <w:szCs w:val="32"/>
        </w:rPr>
      </w:pPr>
      <w:r>
        <w:rPr>
          <w:rStyle w:val="18"/>
          <w:rFonts w:hint="eastAsia" w:ascii="仿宋" w:hAnsi="仿宋" w:eastAsia="仿宋" w:cs="Times New Roman"/>
          <w:b w:val="0"/>
          <w:spacing w:val="-4"/>
          <w:sz w:val="32"/>
          <w:szCs w:val="32"/>
        </w:rPr>
        <w:t>《项目支出绩效</w:t>
      </w:r>
      <w:r>
        <w:rPr>
          <w:rStyle w:val="18"/>
          <w:rFonts w:hint="eastAsia" w:ascii="仿宋" w:hAnsi="仿宋" w:eastAsia="仿宋" w:cs="Times New Roman"/>
          <w:b w:val="0"/>
          <w:spacing w:val="-4"/>
          <w:sz w:val="32"/>
          <w:szCs w:val="32"/>
          <w:lang w:eastAsia="zh-CN"/>
        </w:rPr>
        <w:t>目标</w:t>
      </w:r>
      <w:r>
        <w:rPr>
          <w:rStyle w:val="18"/>
          <w:rFonts w:hint="eastAsia" w:ascii="仿宋" w:hAnsi="仿宋" w:eastAsia="仿宋" w:cs="Times New Roman"/>
          <w:b w:val="0"/>
          <w:spacing w:val="-4"/>
          <w:sz w:val="32"/>
          <w:szCs w:val="32"/>
        </w:rPr>
        <w:t>自评表》</w:t>
      </w:r>
    </w:p>
    <w:p>
      <w:pPr>
        <w:spacing w:line="540" w:lineRule="exact"/>
        <w:ind w:firstLine="567"/>
        <w:rPr>
          <w:rStyle w:val="18"/>
          <w:rFonts w:ascii="仿宋" w:hAnsi="仿宋" w:eastAsia="仿宋"/>
          <w:b w:val="0"/>
          <w:spacing w:val="-4"/>
          <w:sz w:val="32"/>
          <w:szCs w:val="32"/>
        </w:rPr>
      </w:pPr>
    </w:p>
    <w:p>
      <w:pPr>
        <w:pStyle w:val="2"/>
        <w:rPr>
          <w:rStyle w:val="18"/>
          <w:rFonts w:ascii="仿宋" w:hAnsi="仿宋" w:eastAsia="仿宋"/>
          <w:b w:val="0"/>
          <w:bCs/>
          <w:spacing w:val="-4"/>
          <w:sz w:val="32"/>
          <w:szCs w:val="32"/>
        </w:rPr>
      </w:pPr>
    </w:p>
    <w:p>
      <w:pPr>
        <w:rPr>
          <w:rStyle w:val="18"/>
          <w:rFonts w:ascii="仿宋" w:hAnsi="仿宋" w:eastAsia="仿宋"/>
          <w:b w:val="0"/>
          <w:spacing w:val="-4"/>
          <w:sz w:val="32"/>
          <w:szCs w:val="32"/>
        </w:rPr>
      </w:pPr>
    </w:p>
    <w:p>
      <w:pPr>
        <w:pStyle w:val="2"/>
        <w:rPr>
          <w:rStyle w:val="18"/>
          <w:rFonts w:ascii="仿宋" w:hAnsi="仿宋" w:eastAsia="仿宋"/>
          <w:b w:val="0"/>
          <w:bCs/>
          <w:spacing w:val="-4"/>
          <w:sz w:val="32"/>
          <w:szCs w:val="32"/>
        </w:rPr>
      </w:pPr>
    </w:p>
    <w:p>
      <w:pPr>
        <w:rPr>
          <w:rStyle w:val="18"/>
          <w:rFonts w:ascii="仿宋" w:hAnsi="仿宋" w:eastAsia="仿宋"/>
          <w:b w:val="0"/>
          <w:spacing w:val="-4"/>
          <w:sz w:val="32"/>
          <w:szCs w:val="32"/>
        </w:rPr>
      </w:pPr>
    </w:p>
    <w:p>
      <w:pPr>
        <w:pStyle w:val="2"/>
        <w:rPr>
          <w:rStyle w:val="18"/>
          <w:rFonts w:ascii="仿宋" w:hAnsi="仿宋" w:eastAsia="仿宋"/>
          <w:b w:val="0"/>
          <w:bCs/>
          <w:spacing w:val="-4"/>
          <w:sz w:val="32"/>
          <w:szCs w:val="32"/>
        </w:rPr>
      </w:pPr>
    </w:p>
    <w:p>
      <w:pPr>
        <w:rPr>
          <w:rStyle w:val="18"/>
          <w:rFonts w:ascii="仿宋" w:hAnsi="仿宋" w:eastAsia="仿宋"/>
          <w:b w:val="0"/>
          <w:spacing w:val="-4"/>
          <w:sz w:val="32"/>
          <w:szCs w:val="32"/>
        </w:rPr>
      </w:pPr>
    </w:p>
    <w:p>
      <w:pPr>
        <w:pStyle w:val="2"/>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pStyle w:val="2"/>
        <w:rPr>
          <w:rStyle w:val="18"/>
          <w:rFonts w:ascii="仿宋" w:hAnsi="仿宋" w:eastAsia="仿宋"/>
          <w:b w:val="0"/>
          <w:bCs/>
          <w:spacing w:val="-4"/>
          <w:sz w:val="32"/>
          <w:szCs w:val="32"/>
        </w:rPr>
      </w:pPr>
    </w:p>
    <w:p>
      <w:pPr>
        <w:rPr>
          <w:rStyle w:val="18"/>
          <w:rFonts w:ascii="仿宋" w:hAnsi="仿宋" w:eastAsia="仿宋"/>
          <w:b w:val="0"/>
          <w:spacing w:val="-4"/>
          <w:sz w:val="32"/>
          <w:szCs w:val="32"/>
        </w:rPr>
      </w:pPr>
    </w:p>
    <w:p>
      <w:pPr>
        <w:pStyle w:val="2"/>
        <w:rPr>
          <w:rStyle w:val="18"/>
          <w:rFonts w:ascii="仿宋" w:hAnsi="仿宋" w:eastAsia="仿宋"/>
          <w:b w:val="0"/>
          <w:bCs/>
          <w:spacing w:val="-4"/>
          <w:sz w:val="32"/>
          <w:szCs w:val="32"/>
        </w:rPr>
      </w:pPr>
    </w:p>
    <w:p>
      <w:pPr>
        <w:pStyle w:val="2"/>
      </w:pPr>
    </w:p>
    <w:p/>
    <w:p>
      <w:pPr>
        <w:pStyle w:val="2"/>
      </w:pPr>
    </w:p>
    <w:p>
      <w:pPr>
        <w:spacing w:line="540" w:lineRule="exact"/>
        <w:rPr>
          <w:rStyle w:val="18"/>
          <w:rFonts w:hint="eastAsia" w:asciiTheme="minorEastAsia" w:hAnsiTheme="minorEastAsia" w:eastAsiaTheme="minorEastAsia"/>
          <w:b w:val="0"/>
          <w:spacing w:val="-4"/>
          <w:sz w:val="20"/>
          <w:szCs w:val="32"/>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0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25700A6"/>
    <w:rsid w:val="05277A6D"/>
    <w:rsid w:val="152B0510"/>
    <w:rsid w:val="24EE247D"/>
    <w:rsid w:val="2E4A2880"/>
    <w:rsid w:val="32037E0C"/>
    <w:rsid w:val="341727A2"/>
    <w:rsid w:val="368B0774"/>
    <w:rsid w:val="3ACD6EAB"/>
    <w:rsid w:val="4586601B"/>
    <w:rsid w:val="5C697D3D"/>
    <w:rsid w:val="67440F90"/>
    <w:rsid w:val="6C170495"/>
    <w:rsid w:val="7065207E"/>
    <w:rsid w:val="78963043"/>
    <w:rsid w:val="7CDD4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pPr>
      <w:pBdr>
        <w:top w:val="none" w:color="auto" w:sz="0" w:space="0"/>
        <w:left w:val="none" w:color="auto" w:sz="0" w:space="0"/>
        <w:bottom w:val="none" w:color="auto" w:sz="0" w:space="0"/>
        <w:right w:val="none" w:color="auto" w:sz="0" w:space="0"/>
      </w:pBdr>
      <w:spacing w:before="100" w:beforeLines="0" w:beforeAutospacing="1" w:after="100" w:afterLines="0" w:afterAutospacing="1"/>
      <w:ind w:left="0" w:right="0"/>
      <w:jc w:val="left"/>
    </w:pPr>
    <w:rPr>
      <w:kern w:val="0"/>
      <w:sz w:val="24"/>
      <w:lang w:val="en-US" w:eastAsia="zh-CN" w:bidi="ar-SA"/>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15</TotalTime>
  <ScaleCrop>false</ScaleCrop>
  <LinksUpToDate>false</LinksUpToDate>
  <CharactersWithSpaces>1477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白雪</cp:lastModifiedBy>
  <cp:lastPrinted>2018-12-31T10:56:00Z</cp:lastPrinted>
  <dcterms:modified xsi:type="dcterms:W3CDTF">2019-03-05T12:12:59Z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