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hAnsi="宋体" w:eastAsia="仿宋_GB2312" w:cs="宋体"/>
          <w:kern w:val="0"/>
          <w:sz w:val="36"/>
          <w:szCs w:val="36"/>
          <w:lang w:val="en-US" w:eastAsia="zh-CN"/>
        </w:rPr>
        <w:t>2018</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pStyle w:val="46"/>
        <w:spacing w:line="700" w:lineRule="exact"/>
        <w:ind w:firstLine="720" w:firstLineChars="200"/>
        <w:jc w:val="left"/>
        <w:rPr>
          <w:rFonts w:hint="eastAsia" w:hAnsi="宋体" w:eastAsia="仿宋_GB2312" w:cs="宋体"/>
          <w:kern w:val="0"/>
          <w:sz w:val="36"/>
          <w:szCs w:val="36"/>
        </w:rPr>
      </w:pPr>
      <w:r>
        <w:rPr>
          <w:rFonts w:hint="eastAsia" w:hAnsi="宋体" w:eastAsia="仿宋_GB2312" w:cs="宋体"/>
          <w:kern w:val="0"/>
          <w:sz w:val="36"/>
          <w:szCs w:val="36"/>
        </w:rPr>
        <w:t>项目名称：</w:t>
      </w:r>
      <w:r>
        <w:rPr>
          <w:rFonts w:hint="eastAsia" w:ascii="仿宋_GB2312" w:hAnsi="仿宋_GB2312" w:eastAsia="仿宋_GB2312" w:cs="仿宋_GB2312"/>
          <w:kern w:val="0"/>
          <w:sz w:val="36"/>
          <w:szCs w:val="36"/>
          <w:lang w:val="zh-TW" w:eastAsia="zh-CN"/>
        </w:rPr>
        <w:t>三区科技人才项目经费</w:t>
      </w:r>
    </w:p>
    <w:p>
      <w:pPr>
        <w:spacing w:line="700" w:lineRule="exact"/>
        <w:ind w:firstLine="720" w:firstLineChars="200"/>
        <w:jc w:val="left"/>
        <w:rPr>
          <w:rFonts w:hint="eastAsia" w:hAnsi="宋体" w:eastAsia="仿宋_GB2312" w:cs="宋体"/>
          <w:kern w:val="0"/>
          <w:sz w:val="36"/>
          <w:szCs w:val="36"/>
          <w:lang w:val="en-US" w:eastAsia="zh-CN"/>
        </w:rPr>
      </w:pPr>
      <w:r>
        <w:rPr>
          <w:rFonts w:hint="eastAsia" w:hAnsi="宋体" w:eastAsia="仿宋_GB2312" w:cs="宋体"/>
          <w:kern w:val="0"/>
          <w:sz w:val="36"/>
          <w:szCs w:val="36"/>
        </w:rPr>
        <w:t>实施单位（公章）：</w:t>
      </w:r>
      <w:r>
        <w:rPr>
          <w:rFonts w:hint="eastAsia" w:hAnsi="宋体" w:eastAsia="仿宋_GB2312" w:cs="宋体"/>
          <w:kern w:val="0"/>
          <w:sz w:val="36"/>
          <w:szCs w:val="36"/>
          <w:lang w:eastAsia="zh-CN"/>
        </w:rPr>
        <w:t>泽普县科学技术局</w:t>
      </w:r>
    </w:p>
    <w:p>
      <w:pPr>
        <w:spacing w:line="700" w:lineRule="exact"/>
        <w:ind w:firstLine="720" w:firstLineChars="200"/>
        <w:jc w:val="left"/>
        <w:rPr>
          <w:rFonts w:hint="eastAsia" w:hAnsi="宋体" w:eastAsia="仿宋_GB2312" w:cs="宋体"/>
          <w:kern w:val="0"/>
          <w:sz w:val="36"/>
          <w:szCs w:val="36"/>
        </w:rPr>
      </w:pPr>
      <w:r>
        <w:rPr>
          <w:rFonts w:hint="eastAsia" w:hAnsi="宋体" w:eastAsia="仿宋_GB2312" w:cs="宋体"/>
          <w:kern w:val="0"/>
          <w:sz w:val="36"/>
          <w:szCs w:val="36"/>
        </w:rPr>
        <w:t>主管部门（公章）：</w:t>
      </w:r>
    </w:p>
    <w:p>
      <w:pPr>
        <w:spacing w:line="700" w:lineRule="exact"/>
        <w:ind w:firstLine="720" w:firstLineChars="200"/>
        <w:jc w:val="left"/>
        <w:rPr>
          <w:rFonts w:hint="eastAsia" w:hAnsi="宋体" w:eastAsia="仿宋_GB2312" w:cs="宋体"/>
          <w:kern w:val="0"/>
          <w:sz w:val="36"/>
          <w:szCs w:val="36"/>
          <w:lang w:eastAsia="zh-CN"/>
        </w:rPr>
      </w:pPr>
      <w:r>
        <w:rPr>
          <w:rFonts w:hint="eastAsia" w:hAnsi="宋体" w:eastAsia="仿宋_GB2312" w:cs="宋体"/>
          <w:kern w:val="0"/>
          <w:sz w:val="36"/>
          <w:szCs w:val="36"/>
        </w:rPr>
        <w:t>项目负责人（签章）：</w:t>
      </w:r>
      <w:r>
        <w:rPr>
          <w:rFonts w:hint="eastAsia" w:hAnsi="宋体" w:eastAsia="仿宋_GB2312" w:cs="宋体"/>
          <w:kern w:val="0"/>
          <w:sz w:val="36"/>
          <w:szCs w:val="36"/>
          <w:lang w:eastAsia="zh-CN"/>
        </w:rPr>
        <w:t>高海峰、张志全</w:t>
      </w:r>
    </w:p>
    <w:p>
      <w:pPr>
        <w:spacing w:line="700" w:lineRule="exact"/>
        <w:ind w:firstLine="720" w:firstLineChars="200"/>
        <w:jc w:val="left"/>
        <w:rPr>
          <w:rFonts w:hAnsi="宋体" w:eastAsia="仿宋_GB2312" w:cs="宋体"/>
          <w:kern w:val="0"/>
          <w:sz w:val="36"/>
          <w:szCs w:val="36"/>
        </w:rPr>
      </w:pPr>
      <w:r>
        <w:rPr>
          <w:rFonts w:hint="eastAsia" w:hAnsi="宋体" w:eastAsia="仿宋_GB2312" w:cs="宋体"/>
          <w:kern w:val="0"/>
          <w:sz w:val="36"/>
          <w:szCs w:val="36"/>
        </w:rPr>
        <w:t>填报时间：</w:t>
      </w:r>
      <w:r>
        <w:rPr>
          <w:rFonts w:hint="eastAsia" w:hAnsi="宋体" w:eastAsia="仿宋_GB2312" w:cs="宋体"/>
          <w:kern w:val="0"/>
          <w:sz w:val="36"/>
          <w:szCs w:val="36"/>
          <w:lang w:val="en-US" w:eastAsia="zh-CN"/>
        </w:rPr>
        <w:t>2018</w:t>
      </w:r>
      <w:r>
        <w:rPr>
          <w:rFonts w:hint="eastAsia" w:hAnsi="宋体" w:eastAsia="仿宋_GB2312" w:cs="宋体"/>
          <w:kern w:val="0"/>
          <w:sz w:val="36"/>
          <w:szCs w:val="36"/>
        </w:rPr>
        <w:t>年</w:t>
      </w:r>
      <w:r>
        <w:rPr>
          <w:rFonts w:hint="eastAsia" w:hAnsi="宋体" w:eastAsia="仿宋_GB2312" w:cs="宋体"/>
          <w:kern w:val="0"/>
          <w:sz w:val="36"/>
          <w:szCs w:val="36"/>
          <w:lang w:val="en-US" w:eastAsia="zh-CN"/>
        </w:rPr>
        <w:t>12</w:t>
      </w:r>
      <w:r>
        <w:rPr>
          <w:rFonts w:hint="eastAsia" w:hAnsi="宋体" w:eastAsia="仿宋_GB2312" w:cs="宋体"/>
          <w:kern w:val="0"/>
          <w:sz w:val="36"/>
          <w:szCs w:val="36"/>
        </w:rPr>
        <w:t>月</w:t>
      </w:r>
      <w:r>
        <w:rPr>
          <w:rFonts w:hint="eastAsia" w:hAnsi="宋体" w:eastAsia="仿宋_GB2312" w:cs="宋体"/>
          <w:kern w:val="0"/>
          <w:sz w:val="36"/>
          <w:szCs w:val="36"/>
          <w:lang w:val="en-US" w:eastAsia="zh-CN"/>
        </w:rPr>
        <w:t>26</w:t>
      </w:r>
      <w:r>
        <w:rPr>
          <w:rFonts w:hint="eastAsia" w:hAnsi="宋体" w:eastAsia="仿宋_GB2312" w:cs="宋体"/>
          <w:kern w:val="0"/>
          <w:sz w:val="36"/>
          <w:szCs w:val="36"/>
        </w:rPr>
        <w:t>日</w:t>
      </w:r>
    </w:p>
    <w:p>
      <w:pPr>
        <w:spacing w:line="540" w:lineRule="exact"/>
        <w:jc w:val="center"/>
        <w:rPr>
          <w:rFonts w:hAnsi="宋体" w:eastAsia="仿宋_GB2312" w:cs="宋体"/>
          <w:kern w:val="0"/>
          <w:sz w:val="30"/>
          <w:szCs w:val="30"/>
        </w:rPr>
      </w:pPr>
    </w:p>
    <w:p>
      <w:pPr>
        <w:spacing w:line="540" w:lineRule="exact"/>
        <w:rPr>
          <w:rStyle w:val="17"/>
          <w:rFonts w:ascii="黑体" w:hAnsi="黑体" w:eastAsia="黑体"/>
          <w:b w:val="0"/>
          <w:spacing w:val="-4"/>
          <w:sz w:val="32"/>
          <w:szCs w:val="32"/>
        </w:rPr>
      </w:pPr>
    </w:p>
    <w:p>
      <w:pPr>
        <w:spacing w:line="540" w:lineRule="exact"/>
        <w:rPr>
          <w:rStyle w:val="17"/>
          <w:rFonts w:ascii="黑体" w:hAnsi="黑体" w:eastAsia="黑体"/>
          <w:b w:val="0"/>
          <w:spacing w:val="-4"/>
          <w:sz w:val="32"/>
          <w:szCs w:val="32"/>
        </w:rPr>
      </w:pPr>
    </w:p>
    <w:p>
      <w:pPr>
        <w:spacing w:line="540" w:lineRule="exact"/>
        <w:rPr>
          <w:rStyle w:val="17"/>
          <w:rFonts w:ascii="黑体" w:hAnsi="黑体" w:eastAsia="黑体"/>
          <w:b w:val="0"/>
          <w:spacing w:val="-4"/>
          <w:sz w:val="32"/>
          <w:szCs w:val="32"/>
        </w:rPr>
      </w:pPr>
    </w:p>
    <w:p>
      <w:pPr>
        <w:spacing w:line="540" w:lineRule="exact"/>
        <w:rPr>
          <w:rStyle w:val="17"/>
          <w:rFonts w:ascii="黑体" w:hAnsi="黑体" w:eastAsia="黑体"/>
          <w:b w:val="0"/>
          <w:spacing w:val="-4"/>
          <w:sz w:val="32"/>
          <w:szCs w:val="32"/>
        </w:rPr>
      </w:pPr>
    </w:p>
    <w:p>
      <w:pPr>
        <w:spacing w:line="540" w:lineRule="exact"/>
        <w:rPr>
          <w:rStyle w:val="17"/>
          <w:rFonts w:ascii="黑体" w:hAnsi="黑体" w:eastAsia="黑体"/>
          <w:b w:val="0"/>
          <w:spacing w:val="-4"/>
          <w:sz w:val="32"/>
          <w:szCs w:val="32"/>
        </w:rPr>
      </w:pPr>
    </w:p>
    <w:p>
      <w:pPr>
        <w:spacing w:line="540" w:lineRule="exact"/>
        <w:rPr>
          <w:rStyle w:val="17"/>
          <w:rFonts w:ascii="黑体" w:hAnsi="黑体" w:eastAsia="黑体"/>
          <w:b w:val="0"/>
          <w:spacing w:val="-4"/>
          <w:sz w:val="32"/>
          <w:szCs w:val="32"/>
        </w:rPr>
      </w:pP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一、项目概况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（一）项目单位基本情况</w:t>
      </w:r>
    </w:p>
    <w:p>
      <w:pPr>
        <w:ind w:firstLine="643" w:firstLineChars="200"/>
        <w:jc w:val="both"/>
        <w:rPr>
          <w:rFonts w:hint="eastAsia" w:ascii="仿宋" w:hAnsi="仿宋" w:eastAsia="仿宋" w:cs="仿宋"/>
          <w:sz w:val="32"/>
          <w:szCs w:val="32"/>
          <w:lang w:val="en-US" w:eastAsia="zh-CN"/>
        </w:rPr>
      </w:pPr>
      <w:r>
        <w:rPr>
          <w:rFonts w:hint="eastAsia" w:ascii="仿宋" w:hAnsi="仿宋" w:eastAsia="仿宋" w:cs="仿宋"/>
          <w:b/>
          <w:bCs/>
          <w:sz w:val="32"/>
          <w:szCs w:val="32"/>
        </w:rPr>
        <w:t>项目简介:</w:t>
      </w:r>
      <w:r>
        <w:rPr>
          <w:rFonts w:hint="eastAsia" w:ascii="仿宋" w:hAnsi="仿宋" w:eastAsia="仿宋" w:cs="仿宋"/>
          <w:sz w:val="32"/>
          <w:szCs w:val="32"/>
        </w:rPr>
        <w:t>依据喀地财教[2018]</w:t>
      </w:r>
      <w:r>
        <w:rPr>
          <w:rFonts w:hint="eastAsia" w:ascii="仿宋" w:hAnsi="仿宋" w:eastAsia="仿宋" w:cs="仿宋"/>
          <w:sz w:val="32"/>
          <w:szCs w:val="32"/>
          <w:lang w:val="en-US" w:eastAsia="zh-CN"/>
        </w:rPr>
        <w:t>66号</w:t>
      </w:r>
      <w:r>
        <w:rPr>
          <w:rFonts w:hint="eastAsia" w:ascii="仿宋" w:hAnsi="仿宋" w:eastAsia="仿宋" w:cs="仿宋"/>
          <w:sz w:val="32"/>
          <w:szCs w:val="32"/>
        </w:rPr>
        <w:t>文件</w:t>
      </w:r>
      <w:r>
        <w:rPr>
          <w:rFonts w:hint="eastAsia" w:ascii="仿宋" w:hAnsi="仿宋" w:eastAsia="仿宋" w:cs="仿宋"/>
          <w:sz w:val="32"/>
          <w:szCs w:val="32"/>
          <w:lang w:eastAsia="zh-CN"/>
        </w:rPr>
        <w:t>通知，上级部门下达我县</w:t>
      </w:r>
      <w:r>
        <w:rPr>
          <w:rFonts w:hint="eastAsia" w:ascii="仿宋" w:hAnsi="仿宋" w:eastAsia="仿宋" w:cs="仿宋"/>
          <w:sz w:val="32"/>
          <w:szCs w:val="32"/>
        </w:rPr>
        <w:t>201</w:t>
      </w:r>
      <w:r>
        <w:rPr>
          <w:rFonts w:hint="eastAsia" w:ascii="仿宋" w:hAnsi="仿宋" w:eastAsia="仿宋" w:cs="仿宋"/>
          <w:sz w:val="32"/>
          <w:szCs w:val="32"/>
          <w:lang w:val="en-US" w:eastAsia="zh-CN"/>
        </w:rPr>
        <w:t>8</w:t>
      </w:r>
      <w:r>
        <w:rPr>
          <w:rFonts w:hint="eastAsia" w:ascii="仿宋" w:hAnsi="仿宋" w:eastAsia="仿宋" w:cs="仿宋"/>
          <w:sz w:val="32"/>
          <w:szCs w:val="32"/>
        </w:rPr>
        <w:t>年</w:t>
      </w:r>
      <w:r>
        <w:rPr>
          <w:rFonts w:hint="eastAsia" w:ascii="仿宋" w:hAnsi="仿宋" w:eastAsia="仿宋" w:cs="仿宋"/>
          <w:sz w:val="32"/>
          <w:szCs w:val="32"/>
          <w:lang w:eastAsia="zh-CN"/>
        </w:rPr>
        <w:t>自治区</w:t>
      </w:r>
      <w:r>
        <w:rPr>
          <w:rFonts w:hint="eastAsia" w:ascii="仿宋" w:hAnsi="仿宋" w:eastAsia="仿宋" w:cs="仿宋"/>
          <w:b w:val="0"/>
          <w:bCs/>
          <w:sz w:val="30"/>
          <w:szCs w:val="30"/>
          <w:lang w:val="en-US" w:eastAsia="zh-CN"/>
        </w:rPr>
        <w:t>“三区”人才支持计划科技人员专项计划经费12.7785万，</w:t>
      </w:r>
      <w:r>
        <w:rPr>
          <w:rFonts w:hint="eastAsia" w:ascii="仿宋" w:hAnsi="仿宋" w:eastAsia="仿宋" w:cs="仿宋"/>
          <w:sz w:val="32"/>
          <w:szCs w:val="32"/>
          <w:lang w:eastAsia="zh-CN"/>
        </w:rPr>
        <w:t>到位资金</w:t>
      </w:r>
      <w:r>
        <w:rPr>
          <w:rFonts w:hint="eastAsia" w:ascii="仿宋" w:hAnsi="仿宋" w:eastAsia="仿宋" w:cs="仿宋"/>
          <w:sz w:val="32"/>
          <w:szCs w:val="32"/>
          <w:lang w:val="en-US" w:eastAsia="zh-CN"/>
        </w:rPr>
        <w:t>12.7785</w:t>
      </w:r>
      <w:r>
        <w:rPr>
          <w:rFonts w:hint="eastAsia" w:ascii="仿宋" w:hAnsi="仿宋" w:eastAsia="仿宋" w:cs="仿宋"/>
          <w:sz w:val="32"/>
          <w:szCs w:val="32"/>
          <w:lang w:eastAsia="zh-CN"/>
        </w:rPr>
        <w:t>万元。主要用于支持开展科技工作者选派和培养工作。此次拨付选派经费资金补助标准为：伙食费每人每天</w:t>
      </w:r>
      <w:r>
        <w:rPr>
          <w:rFonts w:hint="eastAsia" w:ascii="仿宋" w:hAnsi="仿宋" w:eastAsia="仿宋" w:cs="仿宋"/>
          <w:sz w:val="32"/>
          <w:szCs w:val="32"/>
          <w:lang w:val="en-US" w:eastAsia="zh-CN"/>
        </w:rPr>
        <w:t>35元（按100天计算）；交通费补助每人1000元；人身意外伤害保险每人200元；派出地与派入地艰苦边远地区津贴差额（新标准按新人社发【2016】28号文件执行，3个月计算）及工作补贴。</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（二）项目预算</w:t>
      </w:r>
      <w:r>
        <w:rPr>
          <w:rStyle w:val="17"/>
          <w:rFonts w:ascii="楷体" w:hAnsi="楷体" w:eastAsia="楷体"/>
          <w:spacing w:val="-4"/>
          <w:sz w:val="32"/>
          <w:szCs w:val="32"/>
        </w:rPr>
        <w:t>绩效目标</w:t>
      </w:r>
      <w:r>
        <w:rPr>
          <w:rStyle w:val="17"/>
          <w:rFonts w:hint="eastAsia" w:ascii="楷体" w:hAnsi="楷体" w:eastAsia="楷体"/>
          <w:spacing w:val="-4"/>
          <w:sz w:val="32"/>
          <w:szCs w:val="32"/>
        </w:rPr>
        <w:t>设定情况</w:t>
      </w:r>
    </w:p>
    <w:p>
      <w:pPr>
        <w:spacing w:line="540" w:lineRule="exact"/>
        <w:ind w:firstLine="624" w:firstLineChars="200"/>
        <w:rPr>
          <w:rStyle w:val="17"/>
          <w:rFonts w:hint="eastAsia" w:ascii="仿宋" w:hAnsi="仿宋" w:eastAsia="仿宋"/>
          <w:b w:val="0"/>
          <w:spacing w:val="-4"/>
          <w:sz w:val="32"/>
          <w:szCs w:val="32"/>
        </w:rPr>
      </w:pPr>
      <w:r>
        <w:rPr>
          <w:rStyle w:val="17"/>
          <w:rFonts w:hint="eastAsia" w:ascii="仿宋" w:hAnsi="仿宋" w:eastAsia="仿宋"/>
          <w:b w:val="0"/>
          <w:spacing w:val="-4"/>
          <w:sz w:val="32"/>
          <w:szCs w:val="32"/>
        </w:rPr>
        <w:t>项目绩效目标:支持开展科技工作者选派和培养工作，从而推动了我县的科技人才发展。</w:t>
      </w:r>
    </w:p>
    <w:p>
      <w:pPr>
        <w:spacing w:line="540" w:lineRule="exact"/>
        <w:ind w:firstLine="624" w:firstLineChars="200"/>
        <w:rPr>
          <w:rStyle w:val="17"/>
          <w:rFonts w:hint="eastAsia" w:ascii="仿宋" w:hAnsi="仿宋" w:eastAsia="仿宋"/>
          <w:b w:val="0"/>
          <w:spacing w:val="-4"/>
          <w:sz w:val="32"/>
          <w:szCs w:val="32"/>
        </w:rPr>
      </w:pPr>
      <w:r>
        <w:rPr>
          <w:rStyle w:val="17"/>
          <w:rFonts w:hint="eastAsia" w:ascii="仿宋" w:hAnsi="仿宋" w:eastAsia="仿宋"/>
          <w:b w:val="0"/>
          <w:spacing w:val="-4"/>
          <w:sz w:val="32"/>
          <w:szCs w:val="32"/>
        </w:rPr>
        <w:t>1.项目绩效总目标：科技局严格按照项目资金规定的专项资金项目条件和范围要求，确定专项资金支持的项目，严格按照有关规定使用管理专项资金。</w:t>
      </w:r>
    </w:p>
    <w:p>
      <w:pPr>
        <w:spacing w:line="540" w:lineRule="exact"/>
        <w:ind w:firstLine="624" w:firstLineChars="200"/>
        <w:rPr>
          <w:rStyle w:val="17"/>
          <w:rFonts w:hint="eastAsia" w:ascii="仿宋" w:hAnsi="仿宋" w:eastAsia="仿宋"/>
          <w:b w:val="0"/>
          <w:spacing w:val="-4"/>
          <w:sz w:val="32"/>
          <w:szCs w:val="32"/>
        </w:rPr>
      </w:pPr>
      <w:r>
        <w:rPr>
          <w:rStyle w:val="17"/>
          <w:rFonts w:hint="eastAsia" w:ascii="仿宋" w:hAnsi="仿宋" w:eastAsia="仿宋"/>
          <w:b w:val="0"/>
          <w:spacing w:val="-4"/>
          <w:sz w:val="32"/>
          <w:szCs w:val="32"/>
        </w:rPr>
        <w:t>2.阶段性(个性化)绩效指标：一年发放一次。</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二、项目资金使用及管理情况</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（一）项目资金安排落实、总投入等情况分析</w:t>
      </w:r>
    </w:p>
    <w:p>
      <w:pPr>
        <w:spacing w:line="540" w:lineRule="exact"/>
        <w:ind w:firstLine="624" w:firstLineChars="200"/>
        <w:rPr>
          <w:rStyle w:val="17"/>
          <w:rFonts w:hint="eastAsia" w:ascii="仿宋" w:hAnsi="仿宋" w:eastAsia="仿宋"/>
          <w:b w:val="0"/>
          <w:spacing w:val="-4"/>
          <w:sz w:val="32"/>
          <w:szCs w:val="32"/>
          <w:lang w:eastAsia="zh-CN"/>
        </w:rPr>
      </w:pPr>
      <w:r>
        <w:rPr>
          <w:rStyle w:val="17"/>
          <w:rFonts w:hint="eastAsia" w:ascii="仿宋" w:hAnsi="仿宋" w:eastAsia="仿宋"/>
          <w:b w:val="0"/>
          <w:spacing w:val="-4"/>
          <w:sz w:val="32"/>
          <w:szCs w:val="32"/>
        </w:rPr>
        <w:t>包括财政资金、自筹资金等</w:t>
      </w:r>
      <w:r>
        <w:rPr>
          <w:rStyle w:val="17"/>
          <w:rFonts w:hint="eastAsia" w:ascii="仿宋" w:hAnsi="仿宋" w:eastAsia="仿宋"/>
          <w:b w:val="0"/>
          <w:spacing w:val="-4"/>
          <w:sz w:val="32"/>
          <w:szCs w:val="32"/>
          <w:lang w:eastAsia="zh-CN"/>
        </w:rPr>
        <w:t>：无</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（二）项目资金实际使用情况分析</w:t>
      </w:r>
    </w:p>
    <w:p>
      <w:pPr>
        <w:spacing w:line="540" w:lineRule="exact"/>
        <w:ind w:firstLine="624" w:firstLineChars="200"/>
        <w:rPr>
          <w:rStyle w:val="17"/>
          <w:rFonts w:hint="eastAsia" w:ascii="仿宋" w:hAnsi="仿宋" w:eastAsia="仿宋"/>
          <w:b w:val="0"/>
          <w:spacing w:val="-4"/>
          <w:sz w:val="32"/>
          <w:szCs w:val="32"/>
          <w:lang w:eastAsia="zh-CN"/>
        </w:rPr>
      </w:pPr>
      <w:r>
        <w:rPr>
          <w:rStyle w:val="17"/>
          <w:rFonts w:hint="eastAsia" w:ascii="仿宋" w:hAnsi="仿宋" w:eastAsia="仿宋"/>
          <w:b w:val="0"/>
          <w:spacing w:val="-4"/>
          <w:sz w:val="32"/>
          <w:szCs w:val="32"/>
        </w:rPr>
        <w:t>主要是指财政资金</w:t>
      </w:r>
      <w:r>
        <w:rPr>
          <w:rStyle w:val="17"/>
          <w:rFonts w:hint="eastAsia" w:ascii="仿宋" w:hAnsi="仿宋" w:eastAsia="仿宋"/>
          <w:b w:val="0"/>
          <w:spacing w:val="-4"/>
          <w:sz w:val="32"/>
          <w:szCs w:val="32"/>
          <w:lang w:eastAsia="zh-CN"/>
        </w:rPr>
        <w:t>：</w:t>
      </w:r>
      <w:r>
        <w:rPr>
          <w:rFonts w:hint="eastAsia" w:ascii="仿宋" w:hAnsi="仿宋" w:eastAsia="仿宋" w:cs="仿宋"/>
          <w:sz w:val="32"/>
          <w:szCs w:val="32"/>
          <w:lang w:eastAsia="zh-CN"/>
        </w:rPr>
        <w:t>已经发放完毕</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（三）项目资金管理情况分析</w:t>
      </w:r>
    </w:p>
    <w:p>
      <w:pPr>
        <w:spacing w:line="540" w:lineRule="exact"/>
        <w:ind w:firstLine="624" w:firstLineChars="200"/>
        <w:rPr>
          <w:rStyle w:val="17"/>
          <w:rFonts w:hint="eastAsia" w:ascii="仿宋" w:hAnsi="仿宋" w:eastAsia="仿宋"/>
          <w:b w:val="0"/>
          <w:spacing w:val="-4"/>
          <w:sz w:val="32"/>
          <w:szCs w:val="32"/>
        </w:rPr>
      </w:pPr>
      <w:r>
        <w:rPr>
          <w:rStyle w:val="17"/>
          <w:rFonts w:hint="eastAsia" w:ascii="仿宋" w:hAnsi="仿宋" w:eastAsia="仿宋"/>
          <w:b w:val="0"/>
          <w:spacing w:val="-4"/>
          <w:sz w:val="32"/>
          <w:szCs w:val="32"/>
        </w:rPr>
        <w:t>本项目支出符合</w:t>
      </w:r>
      <w:r>
        <w:rPr>
          <w:rStyle w:val="17"/>
          <w:rFonts w:hint="eastAsia" w:ascii="仿宋" w:hAnsi="仿宋" w:eastAsia="仿宋"/>
          <w:b w:val="0"/>
          <w:spacing w:val="-4"/>
          <w:sz w:val="32"/>
          <w:szCs w:val="32"/>
          <w:lang w:eastAsia="zh-CN"/>
        </w:rPr>
        <w:t>泽普</w:t>
      </w:r>
      <w:r>
        <w:rPr>
          <w:rStyle w:val="17"/>
          <w:rFonts w:hint="eastAsia" w:ascii="仿宋" w:hAnsi="仿宋" w:eastAsia="仿宋"/>
          <w:b w:val="0"/>
          <w:spacing w:val="-4"/>
          <w:sz w:val="32"/>
          <w:szCs w:val="32"/>
        </w:rPr>
        <w:t>县科技局相关财务管理制度，包括会计人员集中核算工作管理制度、财务收支审批制度、财务稽核制度、财务牵制制度、会计主管岗位职责等制度规定，资金的拨付有完整的审批程序和手续，不存在截留、挤占、挪用等情况。</w:t>
      </w:r>
    </w:p>
    <w:p>
      <w:pPr>
        <w:spacing w:line="540" w:lineRule="exact"/>
        <w:ind w:firstLine="624" w:firstLineChars="200"/>
        <w:rPr>
          <w:rStyle w:val="17"/>
          <w:rFonts w:ascii="黑体" w:hAnsi="黑体" w:eastAsia="黑体"/>
          <w:b w:val="0"/>
          <w:spacing w:val="-4"/>
          <w:sz w:val="32"/>
          <w:szCs w:val="32"/>
        </w:rPr>
      </w:pPr>
      <w:r>
        <w:rPr>
          <w:rStyle w:val="17"/>
          <w:rFonts w:hint="eastAsia" w:ascii="黑体" w:hAnsi="黑体" w:eastAsia="黑体"/>
          <w:b w:val="0"/>
          <w:spacing w:val="-4"/>
          <w:sz w:val="32"/>
          <w:szCs w:val="32"/>
        </w:rPr>
        <w:t>三、项目组织实施情况</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（一）项目组织情况分析</w:t>
      </w:r>
    </w:p>
    <w:p>
      <w:pPr>
        <w:spacing w:line="540" w:lineRule="exact"/>
        <w:ind w:firstLine="564" w:firstLineChars="181"/>
        <w:rPr>
          <w:rStyle w:val="17"/>
          <w:rFonts w:hint="eastAsia" w:ascii="仿宋" w:hAnsi="仿宋" w:eastAsia="仿宋"/>
          <w:b w:val="0"/>
          <w:spacing w:val="-4"/>
          <w:sz w:val="32"/>
          <w:szCs w:val="32"/>
        </w:rPr>
      </w:pPr>
      <w:r>
        <w:rPr>
          <w:rStyle w:val="17"/>
          <w:rFonts w:hint="eastAsia" w:ascii="仿宋" w:hAnsi="仿宋" w:eastAsia="仿宋"/>
          <w:b w:val="0"/>
          <w:spacing w:val="-4"/>
          <w:sz w:val="32"/>
          <w:szCs w:val="32"/>
        </w:rPr>
        <w:t>该项目属于经常性零星项目,没有达到招投标限额,由本单位自行组织实施</w:t>
      </w:r>
      <w:r>
        <w:rPr>
          <w:rStyle w:val="17"/>
          <w:rFonts w:hint="eastAsia" w:ascii="仿宋" w:hAnsi="仿宋" w:eastAsia="仿宋"/>
          <w:b w:val="0"/>
          <w:spacing w:val="-4"/>
          <w:sz w:val="32"/>
          <w:szCs w:val="32"/>
          <w:lang w:eastAsia="zh-CN"/>
        </w:rPr>
        <w:t>，</w:t>
      </w:r>
      <w:r>
        <w:rPr>
          <w:rStyle w:val="17"/>
          <w:rFonts w:hint="eastAsia" w:ascii="仿宋" w:hAnsi="仿宋" w:eastAsia="仿宋"/>
          <w:b w:val="0"/>
          <w:spacing w:val="-4"/>
          <w:sz w:val="32"/>
          <w:szCs w:val="32"/>
        </w:rPr>
        <w:t>本项目不存在调整情况</w:t>
      </w:r>
      <w:r>
        <w:rPr>
          <w:rStyle w:val="17"/>
          <w:rFonts w:hint="eastAsia" w:ascii="仿宋" w:hAnsi="仿宋" w:eastAsia="仿宋"/>
          <w:b w:val="0"/>
          <w:spacing w:val="-4"/>
          <w:sz w:val="32"/>
          <w:szCs w:val="32"/>
          <w:lang w:eastAsia="zh-CN"/>
        </w:rPr>
        <w:t>，也</w:t>
      </w:r>
      <w:r>
        <w:rPr>
          <w:rStyle w:val="17"/>
          <w:rFonts w:hint="eastAsia" w:ascii="仿宋" w:hAnsi="仿宋" w:eastAsia="仿宋"/>
          <w:b w:val="0"/>
          <w:spacing w:val="-4"/>
          <w:sz w:val="32"/>
          <w:szCs w:val="32"/>
        </w:rPr>
        <w:t>不存在检查验收程序。</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（二）项目管理情况分析</w:t>
      </w:r>
    </w:p>
    <w:p>
      <w:pPr>
        <w:spacing w:line="540" w:lineRule="exact"/>
        <w:ind w:firstLine="624" w:firstLineChars="200"/>
        <w:rPr>
          <w:rStyle w:val="17"/>
          <w:rFonts w:hint="eastAsia" w:ascii="仿宋" w:hAnsi="仿宋" w:eastAsia="仿宋"/>
          <w:b w:val="0"/>
          <w:spacing w:val="-4"/>
          <w:sz w:val="32"/>
          <w:szCs w:val="32"/>
        </w:rPr>
      </w:pPr>
      <w:r>
        <w:rPr>
          <w:rStyle w:val="17"/>
          <w:rFonts w:hint="eastAsia" w:ascii="仿宋" w:hAnsi="仿宋" w:eastAsia="仿宋"/>
          <w:b w:val="0"/>
          <w:spacing w:val="-4"/>
          <w:sz w:val="32"/>
          <w:szCs w:val="32"/>
        </w:rPr>
        <w:t>（包括项目管理制度建设、日常检查监督管理等情况）</w:t>
      </w:r>
    </w:p>
    <w:p>
      <w:pPr>
        <w:spacing w:line="540" w:lineRule="exact"/>
        <w:ind w:firstLine="624" w:firstLineChars="200"/>
        <w:rPr>
          <w:rStyle w:val="17"/>
          <w:rFonts w:hint="eastAsia" w:ascii="仿宋" w:hAnsi="仿宋" w:eastAsia="仿宋"/>
          <w:b w:val="0"/>
          <w:spacing w:val="-4"/>
          <w:sz w:val="32"/>
          <w:szCs w:val="32"/>
        </w:rPr>
      </w:pPr>
      <w:r>
        <w:rPr>
          <w:rStyle w:val="17"/>
          <w:rFonts w:hint="eastAsia" w:ascii="仿宋" w:hAnsi="仿宋" w:eastAsia="仿宋"/>
          <w:b w:val="0"/>
          <w:spacing w:val="-4"/>
          <w:sz w:val="32"/>
          <w:szCs w:val="32"/>
        </w:rPr>
        <w:t>1、专项计划与自治区科技特派员创新创业行动捆绑实施，具体在自治区“三区”人才计划协调小组指导下，由自治区科技厅（自治区科技特派员工作领导小组办公室）组织实施，负责做好年度工作计划的制定和实施情况的监督指导、评估总结等工作。</w:t>
      </w:r>
    </w:p>
    <w:p>
      <w:pPr>
        <w:spacing w:line="540" w:lineRule="exact"/>
        <w:ind w:firstLine="624" w:firstLineChars="200"/>
        <w:rPr>
          <w:rStyle w:val="17"/>
          <w:rFonts w:hint="eastAsia" w:ascii="仿宋" w:hAnsi="仿宋" w:eastAsia="仿宋"/>
          <w:b w:val="0"/>
          <w:spacing w:val="-4"/>
          <w:sz w:val="32"/>
          <w:szCs w:val="32"/>
        </w:rPr>
      </w:pPr>
      <w:r>
        <w:rPr>
          <w:rStyle w:val="17"/>
          <w:rFonts w:hint="eastAsia" w:ascii="仿宋" w:hAnsi="仿宋" w:eastAsia="仿宋"/>
          <w:b w:val="0"/>
          <w:spacing w:val="-4"/>
          <w:sz w:val="32"/>
          <w:szCs w:val="32"/>
        </w:rPr>
        <w:t>2、县科技局抓好专项计划的落实工作，协调解决项目实施中的有关问题，落实好相关政策。</w:t>
      </w:r>
    </w:p>
    <w:p>
      <w:pPr>
        <w:spacing w:line="540" w:lineRule="exact"/>
        <w:ind w:firstLine="624" w:firstLineChars="200"/>
        <w:rPr>
          <w:rStyle w:val="17"/>
          <w:rFonts w:hint="eastAsia" w:ascii="仿宋" w:hAnsi="仿宋" w:eastAsia="仿宋"/>
          <w:b w:val="0"/>
          <w:spacing w:val="-4"/>
          <w:sz w:val="32"/>
          <w:szCs w:val="32"/>
        </w:rPr>
      </w:pPr>
      <w:r>
        <w:rPr>
          <w:rStyle w:val="17"/>
          <w:rFonts w:hint="eastAsia" w:ascii="仿宋" w:hAnsi="仿宋" w:eastAsia="仿宋"/>
          <w:b w:val="0"/>
          <w:spacing w:val="-4"/>
          <w:sz w:val="32"/>
          <w:szCs w:val="32"/>
        </w:rPr>
        <w:t>3、选派人员的日常管理工作，以县科技局为主，派出单位为辅。县科技局要经常了解选派人员的工作情况，协调受援单位解决有关问题；加强与选派单位的沟通联系，及时反映选派人员的工作情况和思想状况，共同做好选派人员的管理服务工作。</w:t>
      </w:r>
    </w:p>
    <w:p>
      <w:pPr>
        <w:spacing w:line="540" w:lineRule="exact"/>
        <w:ind w:firstLine="624" w:firstLineChars="200"/>
        <w:rPr>
          <w:rStyle w:val="17"/>
          <w:rFonts w:hint="eastAsia" w:ascii="仿宋" w:hAnsi="仿宋" w:eastAsia="仿宋"/>
          <w:b w:val="0"/>
          <w:spacing w:val="-4"/>
          <w:sz w:val="32"/>
          <w:szCs w:val="32"/>
        </w:rPr>
      </w:pPr>
      <w:r>
        <w:rPr>
          <w:rStyle w:val="17"/>
          <w:rFonts w:hint="eastAsia" w:ascii="仿宋" w:hAnsi="仿宋" w:eastAsia="仿宋"/>
          <w:b w:val="0"/>
          <w:spacing w:val="-4"/>
          <w:sz w:val="32"/>
          <w:szCs w:val="32"/>
        </w:rPr>
        <w:t>4、受援单位要协调落实好选派人员的工作岗位，为他们提供必要的工作和生活条件，帮助他们制定工作计划，支持他们开展科技服务活动，确保取得实效。</w:t>
      </w:r>
    </w:p>
    <w:p>
      <w:pPr>
        <w:spacing w:line="540" w:lineRule="exact"/>
        <w:ind w:firstLine="640"/>
        <w:rPr>
          <w:rStyle w:val="17"/>
          <w:rFonts w:ascii="黑体" w:hAnsi="黑体" w:eastAsia="黑体"/>
        </w:rPr>
      </w:pPr>
      <w:r>
        <w:rPr>
          <w:rStyle w:val="17"/>
          <w:rFonts w:hint="eastAsia" w:ascii="黑体" w:hAnsi="黑体" w:eastAsia="黑体"/>
          <w:b w:val="0"/>
          <w:spacing w:val="-4"/>
          <w:sz w:val="32"/>
          <w:szCs w:val="32"/>
        </w:rPr>
        <w:t>四、项目绩效情况</w:t>
      </w:r>
      <w:r>
        <w:rPr>
          <w:rStyle w:val="17"/>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spacing w:line="540" w:lineRule="exact"/>
        <w:ind w:firstLine="564" w:firstLineChars="181"/>
        <w:rPr>
          <w:rStyle w:val="17"/>
          <w:rFonts w:hint="eastAsia" w:ascii="仿宋" w:hAnsi="仿宋" w:eastAsia="仿宋"/>
          <w:b w:val="0"/>
          <w:spacing w:val="-4"/>
          <w:sz w:val="32"/>
          <w:szCs w:val="32"/>
        </w:rPr>
      </w:pPr>
      <w:r>
        <w:rPr>
          <w:rStyle w:val="17"/>
          <w:rFonts w:hint="eastAsia" w:ascii="仿宋" w:hAnsi="仿宋" w:eastAsia="仿宋"/>
          <w:b w:val="0"/>
          <w:spacing w:val="-4"/>
          <w:sz w:val="32"/>
          <w:szCs w:val="32"/>
        </w:rPr>
        <w:t>该项目拟以畜牧业为主（养绵羊），农业和林果业为辅，通过良种繁育、疫病防治、饲草饲料喂养技术培训、农作物新品种的引进、高产栽培技术培训、病虫害综合防治技术培训、果树修剪技术培训、良种嫁接技术培训、精准施肥技术培训等，增加农民收入，市场前景广泛。该项目团队共7人，为泽普县开展饲养培训、林果高产栽培技术培训、农业高产栽培技术培训3000人次，提高农民在畜牧、林果、农业高产栽培等方面的知识，提高收入。</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spacing w:line="540" w:lineRule="exact"/>
        <w:ind w:firstLine="640"/>
        <w:rPr>
          <w:rFonts w:hint="eastAsia" w:ascii="仿宋" w:hAnsi="仿宋" w:eastAsia="仿宋" w:cs="仿宋"/>
          <w:sz w:val="32"/>
          <w:szCs w:val="32"/>
          <w:lang w:eastAsia="zh-CN"/>
        </w:rPr>
      </w:pPr>
      <w:r>
        <w:rPr>
          <w:rFonts w:hint="eastAsia" w:ascii="仿宋" w:hAnsi="仿宋" w:eastAsia="仿宋" w:cs="仿宋"/>
          <w:sz w:val="32"/>
          <w:szCs w:val="32"/>
          <w:lang w:eastAsia="zh-CN"/>
        </w:rPr>
        <w:t>201</w:t>
      </w:r>
      <w:r>
        <w:rPr>
          <w:rFonts w:hint="eastAsia" w:ascii="仿宋" w:hAnsi="仿宋" w:eastAsia="仿宋" w:cs="仿宋"/>
          <w:sz w:val="32"/>
          <w:szCs w:val="32"/>
          <w:lang w:val="en-US" w:eastAsia="zh-CN"/>
        </w:rPr>
        <w:t>8</w:t>
      </w:r>
      <w:r>
        <w:rPr>
          <w:rFonts w:hint="eastAsia" w:ascii="仿宋" w:hAnsi="仿宋" w:eastAsia="仿宋" w:cs="仿宋"/>
          <w:sz w:val="32"/>
          <w:szCs w:val="32"/>
          <w:lang w:eastAsia="zh-CN"/>
        </w:rPr>
        <w:t>年本项目绩效目标全部达成，不存在未完成原因分析。</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40" w:lineRule="exact"/>
        <w:ind w:firstLine="624" w:firstLineChars="200"/>
        <w:jc w:val="both"/>
        <w:rPr>
          <w:rStyle w:val="17"/>
          <w:rFonts w:hint="eastAsia" w:ascii="仿宋" w:hAnsi="仿宋" w:eastAsia="仿宋" w:cs="Times New Roman"/>
          <w:b w:val="0"/>
          <w:spacing w:val="-4"/>
          <w:sz w:val="32"/>
          <w:szCs w:val="32"/>
          <w:lang w:val="en-US" w:eastAsia="zh-CN"/>
        </w:rPr>
      </w:pPr>
      <w:r>
        <w:rPr>
          <w:rStyle w:val="17"/>
          <w:rFonts w:hint="eastAsia" w:ascii="仿宋" w:hAnsi="仿宋" w:eastAsia="仿宋" w:cs="Times New Roman"/>
          <w:b w:val="0"/>
          <w:spacing w:val="-4"/>
          <w:sz w:val="32"/>
          <w:szCs w:val="32"/>
        </w:rPr>
        <w:t>开展科技队伍技术培训，推广新技术、先进技术，突出重点，强化措施，继续推进大理县辖区各单位、各乡镇实施《全民科学素质行动计划纲要》，着力提高科技人群科学素质。1、林业果业管理方面：实用技术培训，林果业生产管理技术指导、林果业简约化管理、引导示范林果业标准化生产、宣传林业惠民政策和林业法律法规；以农牧民持续增收为核心,在加快推进新技术、新思想、宣传相关政策法规等积极发挥科技特派员应有的作用。2、林果业病虫害防治工作；结合现场操作给农民讲解石硫合剂熬药技术及使用方法以及讲解清园工作的重要性，提高果品质量，增加农民收入</w:t>
      </w:r>
      <w:r>
        <w:rPr>
          <w:rStyle w:val="17"/>
          <w:rFonts w:hint="eastAsia" w:ascii="仿宋" w:hAnsi="仿宋" w:eastAsia="仿宋" w:cs="Times New Roman"/>
          <w:b w:val="0"/>
          <w:spacing w:val="-4"/>
          <w:sz w:val="32"/>
          <w:szCs w:val="32"/>
          <w:lang w:eastAsia="zh-CN"/>
        </w:rPr>
        <w:t>。</w:t>
      </w:r>
      <w:r>
        <w:rPr>
          <w:rStyle w:val="17"/>
          <w:rFonts w:hint="eastAsia" w:ascii="仿宋" w:hAnsi="仿宋" w:eastAsia="仿宋" w:cs="Times New Roman"/>
          <w:b w:val="0"/>
          <w:spacing w:val="-4"/>
          <w:sz w:val="32"/>
          <w:szCs w:val="32"/>
          <w:lang w:val="en-US" w:eastAsia="zh-CN"/>
        </w:rPr>
        <w:t>3、畜牧业管理方面；协助兽医站开展相关工作。比如:协助兽医站迎接检查工作。</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spacing w:line="540" w:lineRule="exact"/>
        <w:ind w:firstLine="624" w:firstLineChars="200"/>
        <w:rPr>
          <w:rFonts w:hint="eastAsia" w:ascii="仿宋_GB2312" w:eastAsia="仿宋_GB2312"/>
          <w:spacing w:val="-4"/>
          <w:sz w:val="32"/>
          <w:szCs w:val="32"/>
          <w:lang w:eastAsia="zh-CN"/>
        </w:rPr>
      </w:pPr>
      <w:r>
        <w:rPr>
          <w:rFonts w:hint="eastAsia" w:ascii="仿宋_GB2312" w:eastAsia="仿宋_GB2312"/>
          <w:spacing w:val="-4"/>
          <w:sz w:val="32"/>
          <w:szCs w:val="32"/>
        </w:rPr>
        <w:t>1、主要经验及做法</w:t>
      </w:r>
      <w:r>
        <w:rPr>
          <w:rFonts w:hint="eastAsia" w:ascii="仿宋_GB2312" w:eastAsia="仿宋_GB2312"/>
          <w:spacing w:val="-4"/>
          <w:sz w:val="32"/>
          <w:szCs w:val="32"/>
          <w:lang w:eastAsia="zh-CN"/>
        </w:rPr>
        <w:t>：</w:t>
      </w:r>
    </w:p>
    <w:p>
      <w:pPr>
        <w:spacing w:line="540" w:lineRule="exact"/>
        <w:ind w:firstLine="624" w:firstLineChars="200"/>
        <w:rPr>
          <w:rFonts w:hint="eastAsia" w:ascii="仿宋_GB2312" w:eastAsia="仿宋_GB2312"/>
          <w:spacing w:val="-4"/>
          <w:sz w:val="32"/>
          <w:szCs w:val="32"/>
        </w:rPr>
      </w:pPr>
      <w:r>
        <w:rPr>
          <w:rFonts w:hint="eastAsia" w:ascii="仿宋_GB2312" w:eastAsia="仿宋_GB2312"/>
          <w:spacing w:val="-4"/>
          <w:sz w:val="32"/>
          <w:szCs w:val="32"/>
        </w:rPr>
        <w:t>牵头实施《全民科学素质纲要》，提升全市公民科学素质;反映科技工作者的意见和要求，维护科技工作者的合法权益;宣传、表彰、举荐优秀科技工作者;开展经济、科技、社会事业等方面的软科学研究，参与科学论证、决策咨询;对</w:t>
      </w:r>
      <w:r>
        <w:rPr>
          <w:rFonts w:hint="eastAsia" w:ascii="仿宋_GB2312" w:eastAsia="仿宋_GB2312"/>
          <w:spacing w:val="-4"/>
          <w:sz w:val="32"/>
          <w:szCs w:val="32"/>
          <w:lang w:eastAsia="zh-CN"/>
        </w:rPr>
        <w:t>全县</w:t>
      </w:r>
      <w:r>
        <w:rPr>
          <w:rFonts w:hint="eastAsia" w:ascii="仿宋_GB2312" w:eastAsia="仿宋_GB2312"/>
          <w:spacing w:val="-4"/>
          <w:sz w:val="32"/>
          <w:szCs w:val="32"/>
        </w:rPr>
        <w:t>各类科技队伍进行管理和业务指导;开展继续教育和培训等。</w:t>
      </w:r>
    </w:p>
    <w:p>
      <w:pPr>
        <w:spacing w:line="540" w:lineRule="exact"/>
        <w:ind w:firstLine="627" w:firstLineChars="200"/>
        <w:rPr>
          <w:rFonts w:ascii="楷体" w:hAnsi="楷体" w:eastAsia="楷体"/>
          <w:b/>
          <w:spacing w:val="-4"/>
          <w:sz w:val="32"/>
          <w:szCs w:val="32"/>
        </w:rPr>
      </w:pPr>
      <w:r>
        <w:rPr>
          <w:rFonts w:hint="eastAsia" w:ascii="楷体" w:hAnsi="楷体" w:eastAsia="楷体"/>
          <w:b/>
          <w:spacing w:val="-4"/>
          <w:sz w:val="32"/>
          <w:szCs w:val="32"/>
        </w:rPr>
        <w:t>（三）其他</w:t>
      </w:r>
    </w:p>
    <w:p>
      <w:pPr>
        <w:spacing w:line="540" w:lineRule="exact"/>
        <w:ind w:firstLine="564" w:firstLineChars="181"/>
        <w:rPr>
          <w:rFonts w:hint="eastAsia" w:ascii="仿宋_GB2312" w:hAnsi="Times New Roman" w:eastAsia="仿宋_GB2312" w:cs="Times New Roman"/>
          <w:spacing w:val="-4"/>
          <w:sz w:val="32"/>
          <w:szCs w:val="32"/>
        </w:rPr>
      </w:pPr>
      <w:r>
        <w:rPr>
          <w:rFonts w:hint="eastAsia" w:ascii="仿宋_GB2312" w:hAnsi="Times New Roman" w:eastAsia="仿宋_GB2312" w:cs="Times New Roman"/>
          <w:spacing w:val="-4"/>
          <w:sz w:val="32"/>
          <w:szCs w:val="32"/>
        </w:rPr>
        <w:t>举办培训20场次，培训农民3500人次，田间现场指导50余人次；资金12.7785万元，享受补助资金达到100%。</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六、项目评价工作情况</w:t>
      </w:r>
    </w:p>
    <w:p>
      <w:pPr>
        <w:numPr>
          <w:ilvl w:val="0"/>
          <w:numId w:val="0"/>
        </w:numPr>
        <w:adjustRightInd w:val="0"/>
        <w:snapToGrid w:val="0"/>
        <w:spacing w:line="560" w:lineRule="exact"/>
        <w:ind w:firstLine="640" w:firstLineChars="200"/>
        <w:outlineLvl w:val="0"/>
        <w:rPr>
          <w:rFonts w:hint="eastAsia" w:ascii="仿宋_GB2312" w:hAnsi="仿宋_GB2312" w:eastAsia="仿宋_GB2312" w:cs="仿宋_GB2312"/>
          <w:color w:val="000000"/>
          <w:kern w:val="2"/>
          <w:sz w:val="32"/>
          <w:szCs w:val="32"/>
          <w:lang w:val="en-US" w:eastAsia="zh-CN" w:bidi="ar-SA"/>
        </w:rPr>
      </w:pPr>
      <w:r>
        <w:rPr>
          <w:rFonts w:hint="eastAsia" w:ascii="仿宋_GB2312" w:hAnsi="仿宋_GB2312" w:eastAsia="仿宋_GB2312" w:cs="仿宋_GB2312"/>
          <w:color w:val="000000"/>
          <w:kern w:val="2"/>
          <w:sz w:val="32"/>
          <w:szCs w:val="32"/>
          <w:lang w:val="en-US" w:eastAsia="zh-CN" w:bidi="ar-SA"/>
        </w:rPr>
        <w:t>三区科技人才目资金管理过程规范，程序到位，完成了预期绩效目标，群众满意，社会反响好，取得了巨大的社会效益。</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七、附表</w:t>
      </w:r>
    </w:p>
    <w:p>
      <w:pPr>
        <w:adjustRightInd w:val="0"/>
        <w:snapToGrid w:val="0"/>
        <w:spacing w:line="560" w:lineRule="exact"/>
        <w:ind w:firstLine="640" w:firstLineChars="200"/>
        <w:rPr>
          <w:rFonts w:hint="eastAsia" w:ascii="仿宋_GB2312" w:hAnsi="仿宋_GB2312" w:eastAsia="仿宋_GB2312" w:cs="仿宋_GB2312"/>
          <w:color w:val="000000"/>
          <w:kern w:val="2"/>
          <w:sz w:val="32"/>
          <w:szCs w:val="32"/>
          <w:lang w:val="en-US" w:eastAsia="zh-CN" w:bidi="ar-SA"/>
        </w:rPr>
      </w:pPr>
      <w:r>
        <w:rPr>
          <w:rFonts w:hint="eastAsia" w:ascii="仿宋_GB2312" w:hAnsi="仿宋_GB2312" w:eastAsia="仿宋_GB2312" w:cs="仿宋_GB2312"/>
          <w:color w:val="000000"/>
          <w:kern w:val="2"/>
          <w:sz w:val="32"/>
          <w:szCs w:val="32"/>
          <w:lang w:val="en-US" w:eastAsia="zh-CN" w:bidi="ar-SA"/>
        </w:rPr>
        <w:t>《项目支出绩效目标自评表》</w:t>
      </w: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tbl>
      <w:tblPr>
        <w:tblStyle w:val="19"/>
        <w:tblpPr w:leftFromText="180" w:rightFromText="180" w:vertAnchor="text" w:horzAnchor="page" w:tblpX="1622" w:tblpY="-319"/>
        <w:tblOverlap w:val="never"/>
        <w:tblW w:w="9020" w:type="dxa"/>
        <w:tblInd w:w="0" w:type="dxa"/>
        <w:tblLayout w:type="fixed"/>
        <w:tblCellMar>
          <w:top w:w="0" w:type="dxa"/>
          <w:left w:w="108" w:type="dxa"/>
          <w:bottom w:w="0" w:type="dxa"/>
          <w:right w:w="108" w:type="dxa"/>
        </w:tblCellMar>
      </w:tblPr>
      <w:tblGrid>
        <w:gridCol w:w="720"/>
        <w:gridCol w:w="1140"/>
        <w:gridCol w:w="1360"/>
        <w:gridCol w:w="1080"/>
        <w:gridCol w:w="880"/>
        <w:gridCol w:w="2060"/>
        <w:gridCol w:w="1780"/>
      </w:tblGrid>
      <w:tr>
        <w:tblPrEx>
          <w:tblLayout w:type="fixed"/>
          <w:tblCellMar>
            <w:top w:w="0" w:type="dxa"/>
            <w:left w:w="108" w:type="dxa"/>
            <w:bottom w:w="0" w:type="dxa"/>
            <w:right w:w="108" w:type="dxa"/>
          </w:tblCellMar>
        </w:tblPrEx>
        <w:trPr>
          <w:trHeight w:val="40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b/>
                <w:bCs/>
                <w:kern w:val="0"/>
                <w:sz w:val="32"/>
                <w:szCs w:val="32"/>
              </w:rPr>
            </w:pPr>
            <w:r>
              <w:rPr>
                <w:rFonts w:hint="eastAsia" w:ascii="宋体" w:hAnsi="宋体" w:cs="宋体"/>
                <w:b/>
                <w:bCs/>
                <w:kern w:val="0"/>
                <w:sz w:val="32"/>
                <w:szCs w:val="32"/>
              </w:rPr>
              <w:t>自治区财政项目支出绩效自评表</w:t>
            </w:r>
          </w:p>
        </w:tc>
      </w:tr>
      <w:tr>
        <w:tblPrEx>
          <w:tblLayout w:type="fixed"/>
          <w:tblCellMar>
            <w:top w:w="0" w:type="dxa"/>
            <w:left w:w="108" w:type="dxa"/>
            <w:bottom w:w="0" w:type="dxa"/>
            <w:right w:w="108" w:type="dxa"/>
          </w:tblCellMar>
        </w:tblPrEx>
        <w:trPr>
          <w:trHeight w:val="28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w:t>
            </w:r>
            <w:r>
              <w:rPr>
                <w:kern w:val="0"/>
                <w:sz w:val="24"/>
              </w:rPr>
              <w:t xml:space="preserve">      </w:t>
            </w:r>
            <w:r>
              <w:rPr>
                <w:rFonts w:hint="eastAsia"/>
                <w:kern w:val="0"/>
                <w:sz w:val="24"/>
                <w:lang w:val="en-US" w:eastAsia="zh-CN"/>
              </w:rPr>
              <w:t>2018</w:t>
            </w:r>
            <w:r>
              <w:rPr>
                <w:kern w:val="0"/>
                <w:sz w:val="24"/>
              </w:rPr>
              <w:t xml:space="preserve">    </w:t>
            </w:r>
            <w:r>
              <w:rPr>
                <w:rFonts w:hint="eastAsia" w:ascii="宋体" w:hAnsi="宋体" w:cs="宋体"/>
                <w:kern w:val="0"/>
                <w:sz w:val="24"/>
              </w:rPr>
              <w:t>年度）</w:t>
            </w:r>
          </w:p>
        </w:tc>
      </w:tr>
      <w:tr>
        <w:tblPrEx>
          <w:tblLayout w:type="fixed"/>
          <w:tblCellMar>
            <w:top w:w="0" w:type="dxa"/>
            <w:left w:w="108" w:type="dxa"/>
            <w:bottom w:w="0" w:type="dxa"/>
            <w:right w:w="108" w:type="dxa"/>
          </w:tblCellMar>
        </w:tblPrEx>
        <w:trPr>
          <w:trHeight w:val="285" w:hRule="atLeast"/>
        </w:trPr>
        <w:tc>
          <w:tcPr>
            <w:tcW w:w="72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14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3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0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8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20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7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r>
      <w:tr>
        <w:tblPrEx>
          <w:tblLayout w:type="fixed"/>
          <w:tblCellMar>
            <w:top w:w="0" w:type="dxa"/>
            <w:left w:w="108" w:type="dxa"/>
            <w:bottom w:w="0" w:type="dxa"/>
            <w:right w:w="108" w:type="dxa"/>
          </w:tblCellMar>
        </w:tblPrEx>
        <w:trPr>
          <w:trHeight w:val="420"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项目名称</w:t>
            </w:r>
          </w:p>
        </w:tc>
        <w:tc>
          <w:tcPr>
            <w:tcW w:w="580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自治区“三区”人才支持计划科技人员专项经费　</w:t>
            </w:r>
          </w:p>
        </w:tc>
      </w:tr>
      <w:tr>
        <w:tblPrEx>
          <w:tblLayout w:type="fixed"/>
          <w:tblCellMar>
            <w:top w:w="0" w:type="dxa"/>
            <w:left w:w="108" w:type="dxa"/>
            <w:bottom w:w="0" w:type="dxa"/>
            <w:right w:w="108" w:type="dxa"/>
          </w:tblCellMar>
        </w:tblPrEx>
        <w:trPr>
          <w:trHeight w:val="435"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预算单位</w:t>
            </w:r>
          </w:p>
        </w:tc>
        <w:tc>
          <w:tcPr>
            <w:tcW w:w="5800"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lang w:eastAsia="zh-CN"/>
              </w:rPr>
              <w:t>泽普县科学技术局</w:t>
            </w: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65"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预算</w:t>
            </w:r>
            <w:r>
              <w:rPr>
                <w:rFonts w:hint="eastAsia" w:ascii="宋体" w:hAnsi="宋体" w:cs="宋体"/>
                <w:kern w:val="0"/>
                <w:sz w:val="20"/>
                <w:szCs w:val="20"/>
              </w:rPr>
              <w:br w:type="textWrapping"/>
            </w:r>
            <w:r>
              <w:rPr>
                <w:rFonts w:hint="eastAsia" w:ascii="宋体" w:hAnsi="宋体" w:cs="宋体"/>
                <w:kern w:val="0"/>
                <w:sz w:val="20"/>
                <w:szCs w:val="20"/>
              </w:rPr>
              <w:t>执行</w:t>
            </w:r>
            <w:r>
              <w:rPr>
                <w:rFonts w:hint="eastAsia" w:ascii="宋体" w:hAnsi="宋体" w:cs="宋体"/>
                <w:kern w:val="0"/>
                <w:sz w:val="20"/>
                <w:szCs w:val="20"/>
              </w:rPr>
              <w:br w:type="textWrapping"/>
            </w:r>
            <w:r>
              <w:rPr>
                <w:rFonts w:hint="eastAsia" w:ascii="宋体" w:hAnsi="宋体" w:cs="宋体"/>
                <w:kern w:val="0"/>
                <w:sz w:val="20"/>
                <w:szCs w:val="20"/>
              </w:rPr>
              <w:t>情况</w:t>
            </w:r>
            <w:r>
              <w:rPr>
                <w:rFonts w:hint="eastAsia" w:ascii="宋体" w:hAnsi="宋体" w:cs="宋体"/>
                <w:kern w:val="0"/>
                <w:sz w:val="20"/>
                <w:szCs w:val="20"/>
              </w:rPr>
              <w:br w:type="textWrapping"/>
            </w:r>
            <w:r>
              <w:rPr>
                <w:rFonts w:hint="eastAsia" w:ascii="宋体" w:hAnsi="宋体" w:cs="宋体"/>
                <w:kern w:val="0"/>
                <w:sz w:val="20"/>
                <w:szCs w:val="20"/>
              </w:rPr>
              <w:t>（万元）</w:t>
            </w: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预算数：</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12.7785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执行数：</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12.7785　</w:t>
            </w:r>
          </w:p>
        </w:tc>
      </w:tr>
      <w:tr>
        <w:tblPrEx>
          <w:tblLayout w:type="fixed"/>
          <w:tblCellMar>
            <w:top w:w="0" w:type="dxa"/>
            <w:left w:w="108" w:type="dxa"/>
            <w:bottom w:w="0" w:type="dxa"/>
            <w:right w:w="108" w:type="dxa"/>
          </w:tblCellMar>
        </w:tblPrEx>
        <w:trPr>
          <w:trHeight w:val="509"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12.7785　　</w:t>
            </w:r>
          </w:p>
        </w:tc>
        <w:tc>
          <w:tcPr>
            <w:tcW w:w="2060" w:type="dxa"/>
            <w:tcBorders>
              <w:top w:val="nil"/>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12.7785　　</w:t>
            </w:r>
          </w:p>
        </w:tc>
      </w:tr>
      <w:tr>
        <w:tblPrEx>
          <w:tblLayout w:type="fixed"/>
          <w:tblCellMar>
            <w:top w:w="0" w:type="dxa"/>
            <w:left w:w="108" w:type="dxa"/>
            <w:bottom w:w="0" w:type="dxa"/>
            <w:right w:w="108" w:type="dxa"/>
          </w:tblCellMar>
        </w:tblPrEx>
        <w:trPr>
          <w:trHeight w:val="433"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2060" w:type="dxa"/>
            <w:tcBorders>
              <w:top w:val="single" w:color="auto" w:sz="4" w:space="0"/>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50"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目标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446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预期目标</w:t>
            </w:r>
          </w:p>
        </w:tc>
        <w:tc>
          <w:tcPr>
            <w:tcW w:w="38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实际完成目标</w:t>
            </w:r>
          </w:p>
        </w:tc>
      </w:tr>
      <w:tr>
        <w:tblPrEx>
          <w:tblLayout w:type="fixed"/>
          <w:tblCellMar>
            <w:top w:w="0" w:type="dxa"/>
            <w:left w:w="108" w:type="dxa"/>
            <w:bottom w:w="0" w:type="dxa"/>
            <w:right w:w="108" w:type="dxa"/>
          </w:tblCellMar>
        </w:tblPrEx>
        <w:trPr>
          <w:trHeight w:val="1425"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4460" w:type="dxa"/>
            <w:gridSpan w:val="4"/>
            <w:tcBorders>
              <w:top w:val="single" w:color="auto" w:sz="4" w:space="0"/>
              <w:left w:val="nil"/>
              <w:bottom w:val="single" w:color="auto" w:sz="4" w:space="0"/>
              <w:right w:val="single" w:color="000000" w:sz="4" w:space="0"/>
            </w:tcBorders>
            <w:shd w:val="clear" w:color="auto" w:fill="auto"/>
          </w:tcPr>
          <w:p>
            <w:pPr>
              <w:tabs>
                <w:tab w:val="left" w:pos="1423"/>
              </w:tabs>
              <w:jc w:val="left"/>
              <w:rPr>
                <w:rFonts w:hint="eastAsia" w:ascii="宋体" w:hAnsi="宋体" w:cs="宋体"/>
                <w:kern w:val="0"/>
                <w:sz w:val="20"/>
                <w:szCs w:val="20"/>
                <w:lang w:val="en-US" w:eastAsia="zh-CN" w:bidi="ar-SA"/>
              </w:rPr>
            </w:pPr>
            <w:r>
              <w:rPr>
                <w:rFonts w:hint="eastAsia" w:ascii="宋体" w:hAnsi="宋体" w:cs="宋体"/>
                <w:kern w:val="0"/>
                <w:sz w:val="20"/>
                <w:szCs w:val="20"/>
              </w:rPr>
              <w:t>　</w:t>
            </w:r>
          </w:p>
          <w:p>
            <w:pPr>
              <w:tabs>
                <w:tab w:val="left" w:pos="1423"/>
              </w:tabs>
              <w:jc w:val="left"/>
              <w:rPr>
                <w:rFonts w:hint="eastAsia" w:ascii="宋体" w:hAnsi="宋体" w:eastAsia="宋体" w:cs="宋体"/>
                <w:kern w:val="0"/>
                <w:sz w:val="20"/>
                <w:szCs w:val="20"/>
                <w:lang w:val="en-US" w:eastAsia="zh-CN" w:bidi="ar-SA"/>
              </w:rPr>
            </w:pPr>
            <w:r>
              <w:rPr>
                <w:rFonts w:hint="eastAsia" w:ascii="宋体" w:hAnsi="宋体" w:cs="宋体"/>
                <w:kern w:val="0"/>
                <w:sz w:val="20"/>
                <w:szCs w:val="20"/>
                <w:lang w:val="en-US" w:eastAsia="zh-CN" w:bidi="ar-SA"/>
              </w:rPr>
              <w:t>该项目拟以畜牧业为主（养绵羊），农业和林果业为辅，通过良种繁育、疫病防治、饲草饲料喂养技术培训、农作物新品种的引进、高产栽培技术培训、病虫害综合防治技术培训、果树修剪技术培训、良种嫁接技术培训、精准施肥技术培训等，增加农民收入，市场前景广泛。该项目团队共7人，为泽普县开展饲养培训、林果高产栽培技术培训、农业高产栽培技术培训3000人次，提高农民在畜牧、林果、农业高产栽培等方面的知识，提高收入。</w:t>
            </w:r>
          </w:p>
        </w:tc>
        <w:tc>
          <w:tcPr>
            <w:tcW w:w="3840" w:type="dxa"/>
            <w:gridSpan w:val="2"/>
            <w:tcBorders>
              <w:top w:val="single" w:color="auto" w:sz="4" w:space="0"/>
              <w:left w:val="nil"/>
              <w:bottom w:val="single" w:color="auto" w:sz="4" w:space="0"/>
              <w:right w:val="single" w:color="000000" w:sz="4" w:space="0"/>
            </w:tcBorders>
            <w:shd w:val="clear" w:color="auto" w:fill="auto"/>
          </w:tcPr>
          <w:p>
            <w:pPr>
              <w:widowControl/>
              <w:jc w:val="left"/>
              <w:rPr>
                <w:rFonts w:ascii="宋体" w:hAnsi="宋体" w:cs="宋体"/>
                <w:kern w:val="0"/>
                <w:sz w:val="20"/>
                <w:szCs w:val="20"/>
              </w:rPr>
            </w:pPr>
            <w:r>
              <w:rPr>
                <w:rFonts w:hint="eastAsia" w:ascii="宋体" w:hAnsi="宋体" w:cs="宋体"/>
                <w:kern w:val="0"/>
                <w:sz w:val="20"/>
                <w:szCs w:val="20"/>
              </w:rPr>
              <w:t>该项目拟以畜牧业为主（养绵羊），农业和林果业为辅，通过良种繁育、疫病防治、饲草饲料喂养技术培训、农作物新品种的引进、高产栽培技术培训、病虫害综合防治技术培训、果树修剪技术培训、良种嫁接技术培训、精准施肥技术培训等，增加农民收入，市场前景广泛。该项目团队共7人，为泽普县开展饲养培训、林果高产栽培技术培训、农业高产栽培技术培训3000人次，提高农民在畜牧、林果、农业高产栽培等方面的知识，提高收入。</w:t>
            </w:r>
          </w:p>
        </w:tc>
      </w:tr>
      <w:tr>
        <w:tblPrEx>
          <w:tblLayout w:type="fixed"/>
          <w:tblCellMar>
            <w:top w:w="0" w:type="dxa"/>
            <w:left w:w="108" w:type="dxa"/>
            <w:bottom w:w="0" w:type="dxa"/>
            <w:right w:w="108" w:type="dxa"/>
          </w:tblCellMar>
        </w:tblPrEx>
        <w:trPr>
          <w:trHeight w:val="720" w:hRule="atLeast"/>
        </w:trPr>
        <w:tc>
          <w:tcPr>
            <w:tcW w:w="7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绩效</w:t>
            </w:r>
            <w:r>
              <w:rPr>
                <w:rFonts w:hint="eastAsia" w:ascii="宋体" w:hAnsi="宋体" w:cs="宋体"/>
                <w:kern w:val="0"/>
                <w:sz w:val="20"/>
                <w:szCs w:val="20"/>
              </w:rPr>
              <w:br w:type="textWrapping"/>
            </w:r>
            <w:r>
              <w:rPr>
                <w:rFonts w:hint="eastAsia" w:ascii="宋体" w:hAnsi="宋体" w:cs="宋体"/>
                <w:kern w:val="0"/>
                <w:sz w:val="20"/>
                <w:szCs w:val="20"/>
              </w:rPr>
              <w:t>指标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1140"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一级指标</w:t>
            </w: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二级指标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三级指标</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预期指标值（包含数字及文字描述）</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实际完成指标值（包含数字及文字描述）</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项目完成指标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数量指标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现场会20场次</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3500人次</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质量指标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通过培训提高了农民种植水平（%)</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90%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时效指标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201</w:t>
            </w:r>
            <w:r>
              <w:rPr>
                <w:rFonts w:hint="eastAsia" w:ascii="宋体" w:hAnsi="宋体" w:cs="宋体"/>
                <w:kern w:val="0"/>
                <w:sz w:val="20"/>
                <w:szCs w:val="20"/>
                <w:lang w:val="en-US" w:eastAsia="zh-CN"/>
              </w:rPr>
              <w:t>8</w:t>
            </w:r>
            <w:r>
              <w:rPr>
                <w:rFonts w:hint="eastAsia" w:ascii="宋体" w:hAnsi="宋体" w:cs="宋体"/>
                <w:kern w:val="0"/>
                <w:sz w:val="20"/>
                <w:szCs w:val="20"/>
              </w:rPr>
              <w:t>年</w:t>
            </w:r>
            <w:r>
              <w:rPr>
                <w:rFonts w:hint="eastAsia" w:ascii="宋体" w:hAnsi="宋体" w:cs="宋体"/>
                <w:kern w:val="0"/>
                <w:sz w:val="20"/>
                <w:szCs w:val="20"/>
                <w:lang w:val="en-US" w:eastAsia="zh-CN"/>
              </w:rPr>
              <w:t>1</w:t>
            </w:r>
            <w:r>
              <w:rPr>
                <w:rFonts w:hint="eastAsia" w:ascii="宋体" w:hAnsi="宋体" w:cs="宋体"/>
                <w:kern w:val="0"/>
                <w:sz w:val="20"/>
                <w:szCs w:val="20"/>
              </w:rPr>
              <w:t>月-2018年</w:t>
            </w:r>
            <w:r>
              <w:rPr>
                <w:rFonts w:hint="eastAsia" w:ascii="宋体" w:hAnsi="宋体" w:cs="宋体"/>
                <w:kern w:val="0"/>
                <w:sz w:val="20"/>
                <w:szCs w:val="20"/>
                <w:lang w:val="en-US" w:eastAsia="zh-CN"/>
              </w:rPr>
              <w:t>12</w:t>
            </w:r>
            <w:r>
              <w:rPr>
                <w:rFonts w:hint="eastAsia" w:ascii="宋体" w:hAnsi="宋体" w:cs="宋体"/>
                <w:kern w:val="0"/>
                <w:sz w:val="20"/>
                <w:szCs w:val="20"/>
              </w:rPr>
              <w:t>月</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成本指标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提高农民养殖水平</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项目效果指标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经济效益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通过病虫害防治，挽回了因病虫害危害造成的损失</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社会效益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通过培训，使农民掌握了防治病虫害的关键时期，减少了盲目用药，减少了用药量，减少了污染</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生态效益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通过培训，使农民掌握了防治病虫害的关键时期，减少了盲目用药，减少了用药量，减少了污染</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可持续影响</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bl>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bookmarkStart w:id="0" w:name="_GoBack"/>
      <w:bookmarkEnd w:id="0"/>
    </w:p>
    <w:p>
      <w:pPr>
        <w:spacing w:line="540" w:lineRule="exact"/>
        <w:ind w:firstLine="567"/>
        <w:rPr>
          <w:rStyle w:val="17"/>
          <w:rFonts w:ascii="仿宋" w:hAnsi="仿宋" w:eastAsia="仿宋"/>
          <w:b w:val="0"/>
          <w:spacing w:val="-4"/>
          <w:sz w:val="32"/>
          <w:szCs w:val="32"/>
        </w:rPr>
      </w:pPr>
    </w:p>
    <w:p>
      <w:pPr>
        <w:spacing w:line="540" w:lineRule="exact"/>
        <w:rPr>
          <w:rStyle w:val="17"/>
          <w:rFonts w:hint="eastAsia" w:asciiTheme="minorEastAsia" w:hAnsiTheme="minorEastAsia" w:eastAsiaTheme="minorEastAsia"/>
          <w:b w:val="0"/>
          <w:spacing w:val="-4"/>
          <w:sz w:val="20"/>
          <w:szCs w:val="32"/>
        </w:rPr>
      </w:pPr>
      <w:r>
        <w:rPr>
          <w:rStyle w:val="17"/>
          <w:rFonts w:hint="eastAsia" w:asciiTheme="minorEastAsia" w:hAnsiTheme="minorEastAsia" w:eastAsiaTheme="minorEastAsia"/>
          <w:b w:val="0"/>
          <w:spacing w:val="-4"/>
          <w:sz w:val="20"/>
          <w:szCs w:val="32"/>
        </w:rPr>
        <w:t>经办人：</w:t>
      </w:r>
      <w:r>
        <w:rPr>
          <w:rStyle w:val="17"/>
          <w:rFonts w:hint="eastAsia" w:asciiTheme="minorEastAsia" w:hAnsiTheme="minorEastAsia" w:eastAsiaTheme="minorEastAsia"/>
          <w:b w:val="0"/>
          <w:spacing w:val="-4"/>
          <w:sz w:val="20"/>
          <w:szCs w:val="32"/>
          <w:lang w:eastAsia="zh-CN"/>
        </w:rPr>
        <w:t>比利克孜</w:t>
      </w:r>
      <w:r>
        <w:rPr>
          <w:rStyle w:val="17"/>
          <w:rFonts w:hint="eastAsia" w:asciiTheme="minorEastAsia" w:hAnsiTheme="minorEastAsia" w:eastAsiaTheme="minorEastAsia"/>
          <w:b w:val="0"/>
          <w:spacing w:val="-4"/>
          <w:sz w:val="20"/>
          <w:szCs w:val="32"/>
          <w:lang w:val="en-US" w:eastAsia="zh-CN"/>
        </w:rPr>
        <w:t>·库尔班</w:t>
      </w:r>
      <w:r>
        <w:rPr>
          <w:rStyle w:val="17"/>
          <w:rFonts w:hint="eastAsia" w:asciiTheme="minorEastAsia" w:hAnsiTheme="minorEastAsia" w:eastAsiaTheme="minorEastAsia"/>
          <w:b w:val="0"/>
          <w:spacing w:val="-4"/>
          <w:sz w:val="20"/>
          <w:szCs w:val="32"/>
        </w:rPr>
        <w:t xml:space="preserve">      单位负责人： </w:t>
      </w:r>
      <w:r>
        <w:rPr>
          <w:rStyle w:val="17"/>
          <w:rFonts w:hint="eastAsia" w:asciiTheme="minorEastAsia" w:hAnsiTheme="minorEastAsia" w:eastAsiaTheme="minorEastAsia"/>
          <w:b w:val="0"/>
          <w:spacing w:val="-4"/>
          <w:sz w:val="20"/>
          <w:szCs w:val="32"/>
          <w:lang w:eastAsia="zh-CN"/>
        </w:rPr>
        <w:t>达吾提</w:t>
      </w:r>
      <w:r>
        <w:rPr>
          <w:rStyle w:val="17"/>
          <w:rFonts w:hint="eastAsia" w:asciiTheme="minorEastAsia" w:hAnsiTheme="minorEastAsia" w:eastAsiaTheme="minorEastAsia"/>
          <w:b w:val="0"/>
          <w:spacing w:val="-4"/>
          <w:sz w:val="20"/>
          <w:szCs w:val="32"/>
          <w:lang w:val="en-US" w:eastAsia="zh-CN"/>
        </w:rPr>
        <w:t>· 吾甫尔</w:t>
      </w:r>
      <w:r>
        <w:rPr>
          <w:rStyle w:val="17"/>
          <w:rFonts w:hint="eastAsia" w:asciiTheme="minorEastAsia" w:hAnsiTheme="minorEastAsia" w:eastAsiaTheme="minorEastAsia"/>
          <w:b w:val="0"/>
          <w:spacing w:val="-4"/>
          <w:sz w:val="20"/>
          <w:szCs w:val="32"/>
        </w:rPr>
        <w:t xml:space="preserve">   上报时间：</w:t>
      </w:r>
      <w:r>
        <w:rPr>
          <w:rStyle w:val="17"/>
          <w:rFonts w:hint="eastAsia" w:asciiTheme="minorEastAsia" w:hAnsiTheme="minorEastAsia" w:eastAsiaTheme="minorEastAsia"/>
          <w:b w:val="0"/>
          <w:spacing w:val="-4"/>
          <w:sz w:val="20"/>
          <w:szCs w:val="32"/>
          <w:lang w:val="en-US" w:eastAsia="zh-CN"/>
        </w:rPr>
        <w:t>2018</w:t>
      </w:r>
      <w:r>
        <w:rPr>
          <w:rStyle w:val="17"/>
          <w:rFonts w:hint="eastAsia" w:asciiTheme="minorEastAsia" w:hAnsiTheme="minorEastAsia" w:eastAsiaTheme="minorEastAsia"/>
          <w:b w:val="0"/>
          <w:spacing w:val="-4"/>
          <w:sz w:val="20"/>
          <w:szCs w:val="32"/>
        </w:rPr>
        <w:t>年</w:t>
      </w:r>
      <w:r>
        <w:rPr>
          <w:rStyle w:val="17"/>
          <w:rFonts w:hint="eastAsia" w:asciiTheme="minorEastAsia" w:hAnsiTheme="minorEastAsia" w:eastAsiaTheme="minorEastAsia"/>
          <w:b w:val="0"/>
          <w:spacing w:val="-4"/>
          <w:sz w:val="20"/>
          <w:szCs w:val="32"/>
          <w:lang w:val="en-US" w:eastAsia="zh-CN"/>
        </w:rPr>
        <w:t>12</w:t>
      </w:r>
      <w:r>
        <w:rPr>
          <w:rStyle w:val="17"/>
          <w:rFonts w:hint="eastAsia" w:asciiTheme="minorEastAsia" w:hAnsiTheme="minorEastAsia" w:eastAsiaTheme="minorEastAsia"/>
          <w:b w:val="0"/>
          <w:spacing w:val="-4"/>
          <w:sz w:val="20"/>
          <w:szCs w:val="32"/>
        </w:rPr>
        <w:t>月</w:t>
      </w:r>
      <w:r>
        <w:rPr>
          <w:rStyle w:val="17"/>
          <w:rFonts w:hint="eastAsia" w:asciiTheme="minorEastAsia" w:hAnsiTheme="minorEastAsia" w:eastAsiaTheme="minorEastAsia"/>
          <w:b w:val="0"/>
          <w:spacing w:val="-4"/>
          <w:sz w:val="20"/>
          <w:szCs w:val="32"/>
          <w:lang w:val="en-US" w:eastAsia="zh-CN"/>
        </w:rPr>
        <w:t>25</w:t>
      </w:r>
      <w:r>
        <w:rPr>
          <w:rStyle w:val="17"/>
          <w:rFonts w:hint="eastAsia" w:asciiTheme="minorEastAsia" w:hAnsiTheme="minorEastAsia" w:eastAsiaTheme="minorEastAsia"/>
          <w:b w:val="0"/>
          <w:spacing w:val="-4"/>
          <w:sz w:val="20"/>
          <w:szCs w:val="32"/>
        </w:rPr>
        <w:t xml:space="preserve">日            </w:t>
      </w:r>
    </w:p>
    <w:p>
      <w:pPr>
        <w:spacing w:line="540" w:lineRule="exact"/>
        <w:rPr>
          <w:rStyle w:val="17"/>
          <w:rFonts w:hint="eastAsia" w:asciiTheme="minorEastAsia" w:hAnsiTheme="minorEastAsia" w:eastAsiaTheme="minorEastAsia"/>
          <w:b w:val="0"/>
          <w:spacing w:val="-4"/>
          <w:sz w:val="20"/>
          <w:szCs w:val="32"/>
          <w:lang w:val="en-US" w:eastAsia="zh-CN"/>
        </w:rPr>
      </w:pPr>
      <w:r>
        <w:rPr>
          <w:rStyle w:val="17"/>
          <w:rFonts w:hint="eastAsia" w:asciiTheme="minorEastAsia" w:hAnsiTheme="minorEastAsia" w:eastAsiaTheme="minorEastAsia"/>
          <w:b w:val="0"/>
          <w:spacing w:val="-4"/>
          <w:sz w:val="20"/>
          <w:szCs w:val="32"/>
        </w:rPr>
        <w:t>联系方式：</w:t>
      </w:r>
      <w:r>
        <w:rPr>
          <w:rStyle w:val="17"/>
          <w:rFonts w:hint="eastAsia" w:asciiTheme="minorEastAsia" w:hAnsiTheme="minorEastAsia" w:eastAsiaTheme="minorEastAsia"/>
          <w:b w:val="0"/>
          <w:spacing w:val="-4"/>
          <w:sz w:val="20"/>
          <w:szCs w:val="32"/>
          <w:lang w:val="en-US" w:eastAsia="zh-CN"/>
        </w:rPr>
        <w:t>13309982863</w:t>
      </w:r>
      <w:r>
        <w:rPr>
          <w:rStyle w:val="17"/>
          <w:rFonts w:hint="eastAsia" w:asciiTheme="minorEastAsia" w:hAnsiTheme="minorEastAsia" w:eastAsiaTheme="minorEastAsia"/>
          <w:b w:val="0"/>
          <w:spacing w:val="-4"/>
          <w:sz w:val="20"/>
          <w:szCs w:val="32"/>
        </w:rPr>
        <w:t xml:space="preserve">                联系方式：</w:t>
      </w:r>
      <w:r>
        <w:rPr>
          <w:rStyle w:val="17"/>
          <w:rFonts w:hint="eastAsia" w:asciiTheme="minorEastAsia" w:hAnsiTheme="minorEastAsia" w:eastAsiaTheme="minorEastAsia"/>
          <w:b w:val="0"/>
          <w:spacing w:val="-4"/>
          <w:sz w:val="20"/>
          <w:szCs w:val="32"/>
          <w:lang w:val="en-US" w:eastAsia="zh-CN"/>
        </w:rPr>
        <w:t>13899122515</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auto"/>
    <w:pitch w:val="default"/>
    <w:sig w:usb0="00000000" w:usb1="00000000" w:usb2="0000003F" w:usb3="00000000" w:csb0="603F01FF" w:csb1="FFFF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5</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CA6457"/>
    <w:rsid w:val="00056465"/>
    <w:rsid w:val="00121AE4"/>
    <w:rsid w:val="00146AAD"/>
    <w:rsid w:val="001B3A40"/>
    <w:rsid w:val="0036514A"/>
    <w:rsid w:val="004366A8"/>
    <w:rsid w:val="00502BA7"/>
    <w:rsid w:val="005162F1"/>
    <w:rsid w:val="00535153"/>
    <w:rsid w:val="00554F82"/>
    <w:rsid w:val="0056390D"/>
    <w:rsid w:val="005719B0"/>
    <w:rsid w:val="005D10D6"/>
    <w:rsid w:val="00607FEF"/>
    <w:rsid w:val="00855E3A"/>
    <w:rsid w:val="00922CB9"/>
    <w:rsid w:val="009E5CD9"/>
    <w:rsid w:val="00A26421"/>
    <w:rsid w:val="00A4293B"/>
    <w:rsid w:val="00A67D50"/>
    <w:rsid w:val="00A8691A"/>
    <w:rsid w:val="00AC1946"/>
    <w:rsid w:val="00B40063"/>
    <w:rsid w:val="00B41F61"/>
    <w:rsid w:val="00BA46E6"/>
    <w:rsid w:val="00C56C72"/>
    <w:rsid w:val="00CA6457"/>
    <w:rsid w:val="00CB2D53"/>
    <w:rsid w:val="00D17F2E"/>
    <w:rsid w:val="00D30354"/>
    <w:rsid w:val="00DF42A0"/>
    <w:rsid w:val="00E769FE"/>
    <w:rsid w:val="00EA2CBE"/>
    <w:rsid w:val="00F32FEE"/>
    <w:rsid w:val="00FB10BB"/>
    <w:rsid w:val="18FA7985"/>
    <w:rsid w:val="2991444C"/>
    <w:rsid w:val="40BE0DF2"/>
    <w:rsid w:val="49F77066"/>
    <w:rsid w:val="668856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qFormat/>
    <w:uiPriority w:val="1"/>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Char"/>
    <w:basedOn w:val="16"/>
    <w:link w:val="2"/>
    <w:qFormat/>
    <w:uiPriority w:val="9"/>
    <w:rPr>
      <w:rFonts w:asciiTheme="majorHAnsi" w:hAnsiTheme="majorHAnsi" w:eastAsiaTheme="majorEastAsia"/>
      <w:b/>
      <w:bCs/>
      <w:kern w:val="32"/>
      <w:sz w:val="32"/>
      <w:szCs w:val="32"/>
    </w:rPr>
  </w:style>
  <w:style w:type="character" w:customStyle="1" w:styleId="21">
    <w:name w:val="标题 2 Char"/>
    <w:basedOn w:val="16"/>
    <w:link w:val="3"/>
    <w:semiHidden/>
    <w:qFormat/>
    <w:uiPriority w:val="9"/>
    <w:rPr>
      <w:rFonts w:asciiTheme="majorHAnsi" w:hAnsiTheme="majorHAnsi" w:eastAsiaTheme="majorEastAsia"/>
      <w:b/>
      <w:bCs/>
      <w:i/>
      <w:iCs/>
      <w:sz w:val="28"/>
      <w:szCs w:val="28"/>
    </w:rPr>
  </w:style>
  <w:style w:type="character" w:customStyle="1" w:styleId="22">
    <w:name w:val="标题 3 Char"/>
    <w:basedOn w:val="16"/>
    <w:link w:val="4"/>
    <w:semiHidden/>
    <w:qFormat/>
    <w:uiPriority w:val="9"/>
    <w:rPr>
      <w:rFonts w:asciiTheme="majorHAnsi" w:hAnsiTheme="majorHAnsi" w:eastAsiaTheme="majorEastAsia"/>
      <w:b/>
      <w:bCs/>
      <w:sz w:val="26"/>
      <w:szCs w:val="26"/>
    </w:rPr>
  </w:style>
  <w:style w:type="character" w:customStyle="1" w:styleId="23">
    <w:name w:val="标题 4 Char"/>
    <w:basedOn w:val="16"/>
    <w:link w:val="5"/>
    <w:semiHidden/>
    <w:qFormat/>
    <w:uiPriority w:val="9"/>
    <w:rPr>
      <w:b/>
      <w:bCs/>
      <w:sz w:val="28"/>
      <w:szCs w:val="28"/>
    </w:rPr>
  </w:style>
  <w:style w:type="character" w:customStyle="1" w:styleId="24">
    <w:name w:val="标题 5 Char"/>
    <w:basedOn w:val="16"/>
    <w:link w:val="6"/>
    <w:semiHidden/>
    <w:qFormat/>
    <w:uiPriority w:val="9"/>
    <w:rPr>
      <w:b/>
      <w:bCs/>
      <w:i/>
      <w:iCs/>
      <w:sz w:val="26"/>
      <w:szCs w:val="26"/>
    </w:rPr>
  </w:style>
  <w:style w:type="character" w:customStyle="1" w:styleId="25">
    <w:name w:val="标题 6 Char"/>
    <w:basedOn w:val="16"/>
    <w:link w:val="7"/>
    <w:semiHidden/>
    <w:qFormat/>
    <w:uiPriority w:val="9"/>
    <w:rPr>
      <w:b/>
      <w:bCs/>
    </w:rPr>
  </w:style>
  <w:style w:type="character" w:customStyle="1" w:styleId="26">
    <w:name w:val="标题 7 Char"/>
    <w:basedOn w:val="16"/>
    <w:link w:val="8"/>
    <w:semiHidden/>
    <w:qFormat/>
    <w:uiPriority w:val="9"/>
    <w:rPr>
      <w:sz w:val="24"/>
      <w:szCs w:val="24"/>
    </w:rPr>
  </w:style>
  <w:style w:type="character" w:customStyle="1" w:styleId="27">
    <w:name w:val="标题 8 Char"/>
    <w:basedOn w:val="16"/>
    <w:link w:val="9"/>
    <w:semiHidden/>
    <w:qFormat/>
    <w:uiPriority w:val="9"/>
    <w:rPr>
      <w:i/>
      <w:iCs/>
      <w:sz w:val="24"/>
      <w:szCs w:val="24"/>
    </w:rPr>
  </w:style>
  <w:style w:type="character" w:customStyle="1" w:styleId="28">
    <w:name w:val="标题 9 Char"/>
    <w:basedOn w:val="16"/>
    <w:link w:val="10"/>
    <w:semiHidden/>
    <w:qFormat/>
    <w:uiPriority w:val="9"/>
    <w:rPr>
      <w:rFonts w:asciiTheme="majorHAnsi" w:hAnsiTheme="majorHAnsi" w:eastAsiaTheme="majorEastAsia"/>
    </w:rPr>
  </w:style>
  <w:style w:type="character" w:customStyle="1" w:styleId="29">
    <w:name w:val="标题 Char"/>
    <w:basedOn w:val="16"/>
    <w:link w:val="15"/>
    <w:qFormat/>
    <w:uiPriority w:val="10"/>
    <w:rPr>
      <w:rFonts w:asciiTheme="majorHAnsi" w:hAnsiTheme="majorHAnsi" w:eastAsiaTheme="majorEastAsia"/>
      <w:b/>
      <w:bCs/>
      <w:kern w:val="28"/>
      <w:sz w:val="32"/>
      <w:szCs w:val="32"/>
    </w:rPr>
  </w:style>
  <w:style w:type="character" w:customStyle="1" w:styleId="30">
    <w:name w:val="副标题 Char"/>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6"/>
    <w:link w:val="35"/>
    <w:qFormat/>
    <w:uiPriority w:val="30"/>
    <w:rPr>
      <w:b/>
      <w:i/>
      <w:sz w:val="24"/>
    </w:rPr>
  </w:style>
  <w:style w:type="character" w:customStyle="1" w:styleId="37">
    <w:name w:val="Subtle Emphasis"/>
    <w:qFormat/>
    <w:uiPriority w:val="19"/>
    <w:rPr>
      <w:i/>
      <w:color w:val="595959" w:themeColor="text1" w:themeTint="A5"/>
    </w:rPr>
  </w:style>
  <w:style w:type="character" w:customStyle="1" w:styleId="38">
    <w:name w:val="Intense Emphasis"/>
    <w:basedOn w:val="16"/>
    <w:qFormat/>
    <w:uiPriority w:val="21"/>
    <w:rPr>
      <w:b/>
      <w:i/>
      <w:sz w:val="24"/>
      <w:szCs w:val="24"/>
      <w:u w:val="single"/>
    </w:rPr>
  </w:style>
  <w:style w:type="character" w:customStyle="1" w:styleId="39">
    <w:name w:val="Subtle Reference"/>
    <w:basedOn w:val="16"/>
    <w:qFormat/>
    <w:uiPriority w:val="31"/>
    <w:rPr>
      <w:sz w:val="24"/>
      <w:szCs w:val="24"/>
      <w:u w:val="single"/>
    </w:rPr>
  </w:style>
  <w:style w:type="character" w:customStyle="1" w:styleId="40">
    <w:name w:val="Intense Reference"/>
    <w:basedOn w:val="16"/>
    <w:qFormat/>
    <w:uiPriority w:val="32"/>
    <w:rPr>
      <w:b/>
      <w:sz w:val="24"/>
      <w:u w:val="single"/>
    </w:rPr>
  </w:style>
  <w:style w:type="character" w:customStyle="1" w:styleId="41">
    <w:name w:val="Book Title"/>
    <w:basedOn w:val="16"/>
    <w:qFormat/>
    <w:uiPriority w:val="33"/>
    <w:rPr>
      <w:rFonts w:asciiTheme="majorHAnsi" w:hAnsiTheme="majorHAnsi" w:eastAsiaTheme="majorEastAsia"/>
      <w:b/>
      <w:i/>
      <w:sz w:val="24"/>
      <w:szCs w:val="24"/>
    </w:rPr>
  </w:style>
  <w:style w:type="paragraph" w:customStyle="1" w:styleId="42">
    <w:name w:val="TOC Heading"/>
    <w:basedOn w:val="2"/>
    <w:next w:val="1"/>
    <w:semiHidden/>
    <w:unhideWhenUsed/>
    <w:qFormat/>
    <w:uiPriority w:val="39"/>
    <w:pPr>
      <w:outlineLvl w:val="9"/>
    </w:pPr>
    <w:rPr>
      <w:lang w:eastAsia="en-US" w:bidi="en-US"/>
    </w:rPr>
  </w:style>
  <w:style w:type="character" w:customStyle="1" w:styleId="43">
    <w:name w:val="页眉 Char"/>
    <w:basedOn w:val="16"/>
    <w:link w:val="13"/>
    <w:qFormat/>
    <w:uiPriority w:val="99"/>
    <w:rPr>
      <w:rFonts w:ascii="Calibri" w:hAnsi="Calibri" w:eastAsia="宋体"/>
      <w:kern w:val="2"/>
      <w:sz w:val="18"/>
      <w:szCs w:val="18"/>
    </w:rPr>
  </w:style>
  <w:style w:type="character" w:customStyle="1" w:styleId="44">
    <w:name w:val="页脚 Char"/>
    <w:basedOn w:val="16"/>
    <w:link w:val="12"/>
    <w:qFormat/>
    <w:uiPriority w:val="99"/>
    <w:rPr>
      <w:rFonts w:ascii="Calibri" w:hAnsi="Calibri" w:eastAsia="宋体"/>
      <w:kern w:val="2"/>
      <w:sz w:val="18"/>
      <w:szCs w:val="18"/>
    </w:rPr>
  </w:style>
  <w:style w:type="character" w:customStyle="1" w:styleId="45">
    <w:name w:val="批注框文本 Char"/>
    <w:basedOn w:val="16"/>
    <w:link w:val="11"/>
    <w:semiHidden/>
    <w:qFormat/>
    <w:uiPriority w:val="99"/>
    <w:rPr>
      <w:rFonts w:ascii="Times New Roman" w:hAnsi="Times New Roman" w:eastAsia="宋体"/>
      <w:kern w:val="2"/>
      <w:sz w:val="18"/>
      <w:szCs w:val="18"/>
    </w:rPr>
  </w:style>
  <w:style w:type="paragraph" w:customStyle="1" w:styleId="46">
    <w:name w:val="正文 A"/>
    <w:qFormat/>
    <w:uiPriority w:val="0"/>
    <w:pPr>
      <w:widowControl w:val="0"/>
      <w:pBdr>
        <w:top w:val="none" w:color="auto" w:sz="0" w:space="0"/>
        <w:left w:val="none" w:color="auto" w:sz="0" w:space="0"/>
        <w:bottom w:val="none" w:color="auto" w:sz="0" w:space="0"/>
        <w:right w:val="none" w:color="auto" w:sz="0" w:space="0"/>
        <w:between w:val="none" w:color="auto" w:sz="0" w:space="0"/>
      </w:pBdr>
      <w:spacing w:after="0" w:line="240" w:lineRule="auto"/>
      <w:jc w:val="both"/>
    </w:pPr>
    <w:rPr>
      <w:rFonts w:ascii="Arial Unicode MS" w:hAnsi="Arial Unicode MS" w:eastAsia="Arial Unicode MS"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220</Words>
  <Characters>1259</Characters>
  <Lines>10</Lines>
  <Paragraphs>2</Paragraphs>
  <TotalTime>1</TotalTime>
  <ScaleCrop>false</ScaleCrop>
  <LinksUpToDate>false</LinksUpToDate>
  <CharactersWithSpaces>1477</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2019-01-25T09:39:24Z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