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2018年度新疆喀什地区泽普县科学技术局部门决算公开说明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党和国家、自治区、地区关于科技工作的方针、政策、法律、法规；组织研究制定地区科技发展战略、规划；研究确定本县科技发展的布局和优先领域；负责推动全县科技创新体系建设。（2）编制并组织实施本县科技发展的中长期规划和年度计划，合理配置相应的科技经费；负责管理和实施各类科技项目。（3）研究提出推进本县科技体制改革的政策措施；指导、协调县直有关部门科技体制改革工作；研究提出加强本县科技创新体系建设的政策措施。（4）研究提出多渠道增加科技投入的政策措施，归口管理科学事业费、科技三项经费、科技专项资金和科技发展基金的预、决算及其使用的动态管理；会同有关部门运用行政、经济手段，加强对科技活动的调控。（5）组织协调本县科学技术普及工作，研究提出本县科学技术普及工作的规划和计划，并组织实施，督促检查，推动科普工作发展；负责本县科技信息、科技宣传、科技培训工作；归口管理全县软科学研究。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新疆喀什地区泽普县科学技术局</w:t>
      </w:r>
      <w:r>
        <w:rPr>
          <w:rFonts w:hint="eastAsia" w:ascii="仿宋_GB2312" w:eastAsia="仿宋_GB2312"/>
          <w:sz w:val="32"/>
          <w:szCs w:val="32"/>
        </w:rPr>
        <w:t>部门决算包括：</w:t>
      </w:r>
      <w:r>
        <w:rPr>
          <w:rFonts w:ascii="仿宋_GB2312" w:eastAsia="仿宋_GB2312"/>
          <w:sz w:val="32"/>
          <w:szCs w:val="32"/>
        </w:rPr>
        <w:t>新疆喀什地区泽普县科学技术局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新疆喀什地区泽普县科学技术局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新疆喀什地区泽普县科学技术局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80.23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，与上年相比，增加15.45万元，增长23.85%，增加的主要原因是：</w:t>
      </w:r>
      <w:r>
        <w:rPr>
          <w:rFonts w:hint="eastAsia" w:ascii="仿宋_GB2312" w:eastAsia="仿宋_GB2312"/>
          <w:color w:val="000000" w:themeColor="text1"/>
          <w:sz w:val="32"/>
          <w:szCs w:val="32"/>
        </w:rPr>
        <w:t>2018年三区人员专项经费和人员工资；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77.26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，与上年相比，减少146.52万元，下降65.48%，减少的主要原因是：</w:t>
      </w:r>
      <w:r>
        <w:rPr>
          <w:rFonts w:hint="eastAsia" w:ascii="仿宋_GB2312" w:eastAsia="仿宋_GB2312"/>
          <w:color w:val="000000" w:themeColor="text1"/>
          <w:sz w:val="32"/>
          <w:szCs w:val="32"/>
        </w:rPr>
        <w:t>预算没有安排科普活动经费；</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170.48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，与上年相比，增加2.97万元，增长1.77%，增加的主要原因是：</w:t>
      </w:r>
      <w:r>
        <w:rPr>
          <w:rFonts w:ascii="仿宋_GB2312" w:eastAsia="仿宋_GB2312"/>
          <w:color w:val="000000" w:themeColor="text1"/>
          <w:sz w:val="32"/>
          <w:szCs w:val="32"/>
        </w:rPr>
        <w:t>地区科技局拨付科技特派员项目经费。</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80.23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74.15</w:t>
      </w:r>
      <w:r>
        <w:rPr>
          <w:rFonts w:hint="eastAsia" w:ascii="仿宋_GB2312" w:eastAsia="仿宋_GB2312"/>
          <w:color w:val="000000" w:themeColor="text1"/>
          <w:sz w:val="32"/>
          <w:szCs w:val="32"/>
        </w:rPr>
        <w:t>万元，占</w:t>
      </w:r>
      <w:r>
        <w:rPr>
          <w:rFonts w:hint="eastAsia" w:ascii="仿宋_GB2312" w:eastAsia="仿宋_GB2312"/>
          <w:sz w:val="32"/>
          <w:szCs w:val="32"/>
        </w:rPr>
        <w:t>92.42%</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6.08</w:t>
      </w:r>
      <w:r>
        <w:rPr>
          <w:rFonts w:hint="eastAsia" w:ascii="仿宋_GB2312" w:eastAsia="仿宋_GB2312"/>
          <w:color w:val="000000" w:themeColor="text1"/>
          <w:sz w:val="32"/>
          <w:szCs w:val="32"/>
        </w:rPr>
        <w:t>万元，占</w:t>
      </w:r>
      <w:r>
        <w:rPr>
          <w:rFonts w:hint="eastAsia" w:ascii="仿宋_GB2312" w:eastAsia="仿宋_GB2312"/>
          <w:sz w:val="32"/>
          <w:szCs w:val="32"/>
        </w:rPr>
        <w:t>7.58%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况：本年收入年初预算数64.05万元</w:t>
      </w:r>
      <w:r>
        <w:rPr>
          <w:rFonts w:hint="eastAsia" w:ascii="仿宋_GB2312" w:eastAsia="仿宋_GB2312"/>
          <w:sz w:val="32"/>
          <w:szCs w:val="32"/>
        </w:rPr>
        <w:t>，决算数80.23万元</w:t>
      </w:r>
      <w:r>
        <w:rPr>
          <w:rFonts w:ascii="仿宋_GB2312" w:eastAsia="仿宋_GB2312"/>
          <w:sz w:val="32"/>
          <w:szCs w:val="32"/>
        </w:rPr>
        <w:t>，预决算差异率25.26%，差异主要原因是上级安排2018年三区人员专项经费。</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77.26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64.48</w:t>
      </w:r>
      <w:r>
        <w:rPr>
          <w:rFonts w:hint="eastAsia" w:ascii="仿宋_GB2312" w:eastAsia="仿宋_GB2312"/>
          <w:color w:val="000000" w:themeColor="text1"/>
          <w:sz w:val="32"/>
          <w:szCs w:val="32"/>
        </w:rPr>
        <w:t>万元，占</w:t>
      </w:r>
      <w:r>
        <w:rPr>
          <w:rFonts w:hint="eastAsia" w:ascii="仿宋_GB2312" w:eastAsia="仿宋_GB2312"/>
          <w:sz w:val="32"/>
          <w:szCs w:val="32"/>
        </w:rPr>
        <w:t>83.46%</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12.78</w:t>
      </w:r>
      <w:r>
        <w:rPr>
          <w:rFonts w:hint="eastAsia" w:ascii="仿宋_GB2312" w:eastAsia="仿宋_GB2312"/>
          <w:color w:val="000000" w:themeColor="text1"/>
          <w:sz w:val="32"/>
          <w:szCs w:val="32"/>
        </w:rPr>
        <w:t>万元，占</w:t>
      </w:r>
      <w:r>
        <w:rPr>
          <w:rFonts w:hint="eastAsia" w:ascii="仿宋_GB2312" w:eastAsia="仿宋_GB2312"/>
          <w:sz w:val="32"/>
          <w:szCs w:val="32"/>
        </w:rPr>
        <w:t>16.54%</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与年初预算数相比情况：本年支出年初预算数64.05万元，</w:t>
      </w:r>
      <w:r>
        <w:rPr>
          <w:rFonts w:hint="eastAsia" w:ascii="仿宋_GB2312" w:eastAsia="仿宋_GB2312"/>
          <w:sz w:val="32"/>
          <w:szCs w:val="32"/>
        </w:rPr>
        <w:t>决算数77.26万元</w:t>
      </w:r>
      <w:r>
        <w:rPr>
          <w:rFonts w:ascii="仿宋_GB2312" w:eastAsia="仿宋_GB2312"/>
          <w:sz w:val="32"/>
          <w:szCs w:val="32"/>
        </w:rPr>
        <w:t>，预决算差异率20.62%，差异主要原因是上级安排2018年三区人员专项经费。</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74.15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，与上年相比，增加14.15万元，增长23.58%，增加的主要原因是：2018年三区人员专项经费和人员工资。</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74.15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，与上年相比，减少149.62万元，下降66.86%，减少的主要原因是：</w:t>
      </w:r>
      <w:r>
        <w:rPr>
          <w:rFonts w:ascii="仿宋_GB2312" w:eastAsia="仿宋_GB2312"/>
          <w:sz w:val="32"/>
          <w:szCs w:val="32"/>
        </w:rPr>
        <w:t>预算没有安排科普活动经费。</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61.37</w:t>
      </w:r>
      <w:r>
        <w:rPr>
          <w:rFonts w:hint="eastAsia" w:ascii="仿宋_GB2312" w:eastAsia="仿宋_GB2312"/>
          <w:color w:val="000000" w:themeColor="text1"/>
          <w:sz w:val="32"/>
          <w:szCs w:val="32"/>
        </w:rPr>
        <w:t>万元，项目支出</w:t>
      </w:r>
      <w:r>
        <w:rPr>
          <w:rFonts w:hint="eastAsia" w:ascii="仿宋_GB2312" w:eastAsia="仿宋_GB2312"/>
          <w:sz w:val="32"/>
          <w:szCs w:val="32"/>
        </w:rPr>
        <w:t>12.78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162.73</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，与上年相比无变化，主要原因是：没有变化。</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64.05</w:t>
      </w:r>
      <w:r>
        <w:rPr>
          <w:rFonts w:hint="eastAsia" w:ascii="仿宋_GB2312" w:eastAsia="仿宋_GB2312"/>
          <w:color w:val="000000" w:themeColor="text1"/>
          <w:sz w:val="32"/>
          <w:szCs w:val="32"/>
        </w:rPr>
        <w:t>万元，决算数</w:t>
      </w:r>
      <w:r>
        <w:rPr>
          <w:rFonts w:hint="eastAsia" w:ascii="仿宋_GB2312" w:eastAsia="仿宋_GB2312"/>
          <w:sz w:val="32"/>
          <w:szCs w:val="32"/>
        </w:rPr>
        <w:t>74.15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，预决算差异率15.77%，差异主要原因是2018年三区人员专项经费和人员工资。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64.05</w:t>
      </w:r>
      <w:r>
        <w:rPr>
          <w:rFonts w:hint="eastAsia" w:ascii="仿宋_GB2312" w:eastAsia="仿宋_GB2312"/>
          <w:color w:val="000000" w:themeColor="text1"/>
          <w:sz w:val="32"/>
          <w:szCs w:val="32"/>
        </w:rPr>
        <w:t>万元，决算数</w:t>
      </w:r>
      <w:r>
        <w:rPr>
          <w:rFonts w:hint="eastAsia" w:ascii="仿宋_GB2312" w:eastAsia="仿宋_GB2312"/>
          <w:sz w:val="32"/>
          <w:szCs w:val="32"/>
        </w:rPr>
        <w:t>74.15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，预决算差异率15.77%，差异主要原因是2018年三区人员专项经费和人员工资。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74.15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，与上年相比，增加14.15万元，增长23.58%，增加的主要原因是：2018年三区人员专项经费。</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74.15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，与上年相比，减少149.62万元，下降66.86%，减少的主要原因是：预算没有安排科普活动经费。</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科学技术支出67.81万元,社会保障和就业支出6.34万元。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工资福利支出56.49万元,商品和服务支出1.9万元,对个人和家庭的补助15.76万元。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64.05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，预决算差异率15.77%，差异主要原因是2018年三区人员专项经费。</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64.05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74.15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，预决算差异率15.77%，差异主要原因是2018年三区人员专项经费。</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，与上年相比无变化，主要原因是：没有安排政府基金。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，与上年相比无变化，主要原因是：没有安排政府基金。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，预决算差异率0%，差异主要原因是没有安排政府基金。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，预决算差异率0%，差异主要原因是没有安排政府基金。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170.48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。与上年相比，增加2.97万元，增长1.77%</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162.73</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，与上年相比，减少1.18万元，下降45.74%，减少的主要原因是：压缩经费支出、车辆外出减少。</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0%，与上年相比无变化，主要原因是：无因公出国（境）支出；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1.4</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100%，与上年相比，减少1.18万元，下降45.74%，减少的主要原因是：压缩经费支出、车辆外出减少；</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0%，与上年相比无变化，主要原因是：没有发生业务。</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新疆喀什地区泽普县科学技术局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没有发生业务。</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1.4</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1.4</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日常工作开展</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没有发生业务</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新疆喀什地区泽普县科学技术局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1.65</w:t>
      </w:r>
      <w:r>
        <w:rPr>
          <w:rFonts w:hint="eastAsia" w:ascii="仿宋_GB2312" w:eastAsia="仿宋_GB2312"/>
          <w:color w:val="000000" w:themeColor="text1"/>
          <w:sz w:val="32"/>
          <w:szCs w:val="32"/>
        </w:rPr>
        <w:t>万元，决算数1.4万元</w:t>
      </w:r>
      <w:r>
        <w:rPr>
          <w:rFonts w:ascii="仿宋_GB2312" w:eastAsia="仿宋_GB2312"/>
          <w:color w:val="000000" w:themeColor="text1"/>
          <w:sz w:val="32"/>
          <w:szCs w:val="32"/>
        </w:rPr>
        <w:t>，预决算差异率-15.15%，差异主要原因是压缩经费支出、车辆外出减少。</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，预决算差异率0%，差异主要原因是没有发生业务；</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，预决算差异率0%，差异主要原因是没有发生业务；</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1.65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，预决算差异率-15.15%，差异主要原因是压缩经费支出、车辆外出减少；</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没有发生业务。</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2018年度新疆喀什地区泽普县科学技术局机关运行经费支出1.9万元，与上年相比，增加1.9万元，增长100%，增加的主要原因是：财政2017年没有安排机关运行经费。</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0.43</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0.43</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51.71</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自治区边远贫困县市科技人员专项支持计划项目。</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自治区边远贫困县市科技人员专项支持计划项目绩效自评综述：根据年初设定的绩效目标，该项目绩效自评得分为100分。项目全年预算数为12.78万元，执行数为12.78万元，完成预算的100%。主要产出和效果：一是通过培训提高了农民种植水平；二是通过培训，使农民掌握了防治病虫害的关键时期，减少了盲目用药，减少了用药量</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减少了污染发现的问题及原因：没有</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下一步改进措施：加强培训和宣传提高农牧民的技术水平</w:t>
      </w:r>
      <w:r>
        <w:rPr>
          <w:rFonts w:hint="eastAsia" w:ascii="仿宋_GB2312" w:hAnsi="仿宋_GB2312" w:eastAsia="仿宋_GB2312" w:cs="仿宋_GB2312"/>
          <w:b w:val="0"/>
          <w:color w:val="auto"/>
          <w:sz w:val="32"/>
          <w:u w:val="none"/>
          <w:lang w:eastAsia="zh-CN"/>
        </w:rPr>
        <w:t>。</w:t>
      </w:r>
    </w:p>
    <w:p>
      <w:pPr>
        <w:spacing w:line="540" w:lineRule="exact"/>
        <w:jc w:val="center"/>
        <w:rPr>
          <w:rFonts w:hint="eastAsia" w:ascii="黑体" w:hAnsi="黑体" w:eastAsia="黑体"/>
          <w:sz w:val="32"/>
          <w:szCs w:val="32"/>
        </w:rPr>
      </w:pPr>
    </w:p>
    <w:p>
      <w:pPr>
        <w:spacing w:line="540" w:lineRule="exact"/>
        <w:jc w:val="center"/>
        <w:rPr>
          <w:rFonts w:ascii="黑体" w:hAnsi="黑体" w:eastAsia="黑体"/>
          <w:sz w:val="32"/>
          <w:szCs w:val="32"/>
        </w:rPr>
      </w:pPr>
      <w:bookmarkStart w:id="92" w:name="_GoBack"/>
      <w:bookmarkEnd w:id="92"/>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206（类）04（款）02（项）指：应用技术研究与开发。206（类）05（款）99（项）指：其他科技条件与服务支出。206（类）01（款）01（项）指：行政运行。208（类）05（款）06（项）指：机关事业单位职业年金缴费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3D21300"/>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37653B"/>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288</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2020-04-05T12:41:51Z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