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1</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hAnsi="宋体" w:cs="宋体"/>
          <w:kern w:val="0"/>
          <w:sz w:val="36"/>
          <w:szCs w:val="36"/>
        </w:rPr>
      </w:pPr>
      <w:r>
        <w:rPr>
          <w:rFonts w:hint="eastAsia" w:hAnsi="宋体" w:cs="宋体"/>
          <w:kern w:val="0"/>
          <w:sz w:val="36"/>
          <w:szCs w:val="36"/>
        </w:rPr>
        <w:t>（</w:t>
      </w:r>
      <w:r>
        <w:rPr>
          <w:rFonts w:hAnsi="宋体" w:cs="宋体"/>
          <w:kern w:val="0"/>
          <w:sz w:val="36"/>
          <w:szCs w:val="36"/>
        </w:rPr>
        <w:t xml:space="preserve">   2018</w:t>
      </w:r>
      <w:r>
        <w:rPr>
          <w:rFonts w:hint="eastAsia" w:hAnsi="宋体" w:cs="宋体"/>
          <w:kern w:val="0"/>
          <w:sz w:val="36"/>
          <w:szCs w:val="36"/>
        </w:rPr>
        <w:t xml:space="preserve"> 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int="eastAsia" w:ascii="华文中宋" w:hAnsi="华文中宋" w:eastAsia="华文中宋" w:cs="宋体"/>
          <w:b/>
          <w:kern w:val="0"/>
          <w:sz w:val="44"/>
          <w:szCs w:val="44"/>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Ansi="宋体" w:cs="宋体"/>
          <w:kern w:val="0"/>
          <w:szCs w:val="30"/>
        </w:rPr>
      </w:pP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项目名称：农村学前三年免费教育保障机制项目</w:t>
      </w: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实施单位（公章）：泽普县教育和科学技术局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主管部门（公章）：泽普县教育和科学技术局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项目负责人（签章）：梁信民</w:t>
      </w:r>
    </w:p>
    <w:p>
      <w:pPr>
        <w:spacing w:line="700" w:lineRule="exact"/>
        <w:ind w:firstLine="849" w:firstLineChars="236"/>
        <w:jc w:val="left"/>
        <w:rPr>
          <w:rFonts w:hAnsi="宋体" w:cs="宋体"/>
          <w:kern w:val="0"/>
          <w:sz w:val="36"/>
          <w:szCs w:val="36"/>
        </w:rPr>
      </w:pPr>
      <w:r>
        <w:rPr>
          <w:rFonts w:hint="eastAsia" w:hAnsi="宋体" w:cs="宋体"/>
          <w:kern w:val="0"/>
          <w:sz w:val="36"/>
          <w:szCs w:val="36"/>
        </w:rPr>
        <w:t>填报时间：</w:t>
      </w:r>
      <w:r>
        <w:rPr>
          <w:rFonts w:hAnsi="宋体" w:cs="宋体"/>
          <w:kern w:val="0"/>
          <w:sz w:val="36"/>
          <w:szCs w:val="36"/>
        </w:rPr>
        <w:t xml:space="preserve">     2018</w:t>
      </w:r>
      <w:r>
        <w:rPr>
          <w:rFonts w:hint="eastAsia" w:hAnsi="宋体" w:cs="宋体"/>
          <w:kern w:val="0"/>
          <w:sz w:val="36"/>
          <w:szCs w:val="36"/>
        </w:rPr>
        <w:t>年</w:t>
      </w:r>
      <w:r>
        <w:rPr>
          <w:rFonts w:hAnsi="宋体" w:cs="宋体"/>
          <w:kern w:val="0"/>
          <w:sz w:val="36"/>
          <w:szCs w:val="36"/>
        </w:rPr>
        <w:t xml:space="preserve">   12 </w:t>
      </w:r>
      <w:r>
        <w:rPr>
          <w:rFonts w:hint="eastAsia" w:hAnsi="宋体" w:cs="宋体"/>
          <w:kern w:val="0"/>
          <w:sz w:val="36"/>
          <w:szCs w:val="36"/>
        </w:rPr>
        <w:t>月</w:t>
      </w:r>
      <w:r>
        <w:rPr>
          <w:rFonts w:hAnsi="宋体" w:cs="宋体"/>
          <w:kern w:val="0"/>
          <w:sz w:val="36"/>
          <w:szCs w:val="36"/>
        </w:rPr>
        <w:t xml:space="preserve">  26 </w:t>
      </w:r>
      <w:r>
        <w:rPr>
          <w:rFonts w:hint="eastAsia" w:hAnsi="宋体" w:cs="宋体"/>
          <w:kern w:val="0"/>
          <w:sz w:val="36"/>
          <w:szCs w:val="36"/>
        </w:rPr>
        <w:t>日</w:t>
      </w:r>
    </w:p>
    <w:p>
      <w:pPr>
        <w:widowControl/>
        <w:spacing w:line="660" w:lineRule="exact"/>
        <w:jc w:val="center"/>
        <w:rPr>
          <w:rFonts w:ascii="方正小标宋简体" w:hAnsi="仿宋" w:eastAsia="方正小标宋简体" w:cs="仿宋"/>
          <w:b/>
          <w:sz w:val="36"/>
          <w:szCs w:val="36"/>
        </w:rPr>
      </w:pPr>
      <w:r>
        <w:rPr>
          <w:rFonts w:ascii="方正小标宋简体" w:hAnsi="仿宋" w:eastAsia="方正小标宋简体" w:cs="仿宋"/>
          <w:b/>
          <w:sz w:val="36"/>
          <w:szCs w:val="36"/>
        </w:rPr>
        <w:br w:type="page"/>
      </w:r>
      <w:r>
        <w:rPr>
          <w:rFonts w:ascii="方正小标宋简体" w:hAnsi="仿宋" w:eastAsia="方正小标宋简体" w:cs="仿宋"/>
          <w:b/>
          <w:sz w:val="36"/>
          <w:szCs w:val="36"/>
        </w:rPr>
        <w:t>2018</w:t>
      </w:r>
      <w:r>
        <w:rPr>
          <w:rFonts w:hint="eastAsia" w:ascii="方正小标宋简体" w:hAnsi="仿宋" w:eastAsia="方正小标宋简体" w:cs="仿宋"/>
          <w:b/>
          <w:sz w:val="36"/>
          <w:szCs w:val="36"/>
        </w:rPr>
        <w:t>年度新疆西藏等少数民族地区教育特殊补助资金（学前教育补助经费）项目绩效自评报告</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一、基本情况</w:t>
      </w:r>
    </w:p>
    <w:p>
      <w:pPr>
        <w:pStyle w:val="4"/>
        <w:widowControl/>
        <w:wordWrap w:val="0"/>
        <w:spacing w:beforeAutospacing="0" w:afterAutospacing="0" w:line="660" w:lineRule="exact"/>
        <w:ind w:firstLine="64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落实项目主管部门。泽普县教育局作为项目主管部门，对学前教育专项资金项目全面履行监管责任：一是督促各级学前教育幼儿园及时制定资金预算，确保按预算支付专款专用；二是加强预算执行的全程监督，定期不定期检查基层幼儿园预算执行情况；三是及时拨付资金，加强资金使用监管；四是督促各级学前幼儿园支付进度，提高保障经费使用质量。</w:t>
      </w:r>
    </w:p>
    <w:p>
      <w:pPr>
        <w:pStyle w:val="4"/>
        <w:widowControl/>
        <w:wordWrap w:val="0"/>
        <w:spacing w:beforeAutospacing="0" w:afterAutospacing="0" w:line="660" w:lineRule="exact"/>
        <w:ind w:firstLine="640"/>
        <w:rPr>
          <w:rFonts w:ascii="仿宋" w:hAnsi="仿宋" w:eastAsia="仿宋" w:cs="仿宋"/>
          <w:color w:val="333333"/>
          <w:sz w:val="32"/>
          <w:szCs w:val="32"/>
        </w:rPr>
      </w:pPr>
      <w:r>
        <w:rPr>
          <w:rFonts w:ascii="仿宋" w:hAnsi="仿宋" w:eastAsia="仿宋" w:cs="仿宋"/>
          <w:sz w:val="32"/>
          <w:szCs w:val="32"/>
        </w:rPr>
        <w:t xml:space="preserve"> 2</w:t>
      </w:r>
      <w:r>
        <w:rPr>
          <w:rFonts w:hint="eastAsia" w:ascii="仿宋" w:hAnsi="仿宋" w:eastAsia="仿宋" w:cs="仿宋"/>
          <w:sz w:val="32"/>
          <w:szCs w:val="32"/>
        </w:rPr>
        <w:t>．根据喀地财教</w:t>
      </w:r>
      <w:r>
        <w:rPr>
          <w:rFonts w:ascii="仿宋" w:hAnsi="仿宋" w:eastAsia="仿宋" w:cs="仿宋"/>
          <w:sz w:val="32"/>
          <w:szCs w:val="32"/>
        </w:rPr>
        <w:t>[2018]11</w:t>
      </w:r>
      <w:r>
        <w:rPr>
          <w:rFonts w:hint="eastAsia" w:ascii="仿宋" w:hAnsi="仿宋" w:eastAsia="仿宋" w:cs="仿宋"/>
          <w:sz w:val="32"/>
          <w:szCs w:val="32"/>
        </w:rPr>
        <w:t>、</w:t>
      </w:r>
      <w:r>
        <w:rPr>
          <w:rFonts w:ascii="仿宋" w:hAnsi="仿宋" w:eastAsia="仿宋" w:cs="仿宋"/>
          <w:sz w:val="32"/>
          <w:szCs w:val="32"/>
        </w:rPr>
        <w:t>[2018]24</w:t>
      </w:r>
      <w:r>
        <w:rPr>
          <w:rFonts w:hint="eastAsia" w:ascii="仿宋" w:hAnsi="仿宋" w:eastAsia="仿宋" w:cs="仿宋"/>
          <w:sz w:val="32"/>
          <w:szCs w:val="32"/>
        </w:rPr>
        <w:t>号文件关于下达</w:t>
      </w:r>
      <w:r>
        <w:rPr>
          <w:rFonts w:ascii="仿宋" w:hAnsi="仿宋" w:eastAsia="仿宋" w:cs="仿宋"/>
          <w:sz w:val="32"/>
          <w:szCs w:val="32"/>
        </w:rPr>
        <w:t>2018</w:t>
      </w:r>
      <w:r>
        <w:rPr>
          <w:rFonts w:hint="eastAsia" w:ascii="仿宋" w:hAnsi="仿宋" w:eastAsia="仿宋" w:cs="仿宋"/>
          <w:sz w:val="32"/>
          <w:szCs w:val="32"/>
        </w:rPr>
        <w:t>年中央学前教育阶段保障经费资金的</w:t>
      </w:r>
      <w:r>
        <w:rPr>
          <w:rFonts w:ascii="仿宋" w:hAnsi="仿宋" w:eastAsia="仿宋" w:cs="仿宋"/>
          <w:sz w:val="32"/>
          <w:szCs w:val="32"/>
        </w:rPr>
        <w:t>3602.13</w:t>
      </w:r>
      <w:r>
        <w:rPr>
          <w:rFonts w:hint="eastAsia" w:ascii="仿宋" w:hAnsi="仿宋" w:eastAsia="仿宋" w:cs="仿宋"/>
          <w:sz w:val="32"/>
          <w:szCs w:val="32"/>
        </w:rPr>
        <w:t>万元作为全县各级各类学前幼儿园保障经费。项目资金主要用学前教育阶段幼儿园保教经费、取暖费和伙食费补助，一是使用各幼儿园日常公用经费支出和保育员教师的工资；二是使用在园幼儿的伙食费补助。</w:t>
      </w:r>
      <w:r>
        <w:rPr>
          <w:rFonts w:ascii="仿宋" w:hAnsi="仿宋" w:eastAsia="仿宋" w:cs="仿宋"/>
          <w:sz w:val="32"/>
          <w:szCs w:val="32"/>
        </w:rPr>
        <w:br w:type="textWrapping"/>
      </w:r>
      <w:r>
        <w:rPr>
          <w:rFonts w:ascii="仿宋" w:hAnsi="仿宋" w:eastAsia="仿宋" w:cs="仿宋"/>
          <w:sz w:val="32"/>
          <w:szCs w:val="32"/>
        </w:rPr>
        <w:t xml:space="preserve">    3</w:t>
      </w:r>
      <w:r>
        <w:rPr>
          <w:rFonts w:hint="eastAsia" w:ascii="仿宋" w:hAnsi="仿宋" w:eastAsia="仿宋" w:cs="仿宋"/>
          <w:sz w:val="32"/>
          <w:szCs w:val="32"/>
        </w:rPr>
        <w:t>．专项资金支持条件及资金使用管理情况。教育局严格按照项目资金规定的专项资金支持的项目条件和范围要求，确定学前教育专项资金支持的项目，严格按照有关规定使用管理专项资金。</w:t>
      </w:r>
      <w:r>
        <w:rPr>
          <w:rFonts w:ascii="仿宋" w:hAnsi="仿宋" w:eastAsia="仿宋" w:cs="仿宋"/>
          <w:sz w:val="32"/>
          <w:szCs w:val="32"/>
        </w:rPr>
        <w:br w:type="textWrapping"/>
      </w:r>
      <w:r>
        <w:rPr>
          <w:rFonts w:hint="eastAsia" w:ascii="仿宋" w:hAnsi="仿宋" w:eastAsia="仿宋" w:cs="仿宋"/>
          <w:sz w:val="32"/>
          <w:szCs w:val="32"/>
        </w:rPr>
        <w:t>（一）中央下达专项转移支付预算和绩效目标情况。</w:t>
      </w:r>
    </w:p>
    <w:p>
      <w:pPr>
        <w:spacing w:line="660" w:lineRule="exact"/>
        <w:outlineLvl w:val="0"/>
        <w:rPr>
          <w:rFonts w:ascii="仿宋" w:hAnsi="仿宋" w:eastAsia="仿宋" w:cs="仿宋"/>
          <w:sz w:val="32"/>
          <w:szCs w:val="32"/>
        </w:rPr>
      </w:pPr>
      <w:r>
        <w:rPr>
          <w:rFonts w:hint="eastAsia" w:ascii="仿宋" w:hAnsi="仿宋" w:eastAsia="仿宋" w:cs="仿宋"/>
          <w:sz w:val="32"/>
          <w:szCs w:val="32"/>
        </w:rPr>
        <w:t>按照中央下达的专项转移支付预算和绩效目标我县学前教育幼儿园该资金的预算执行完成率</w:t>
      </w:r>
      <w:r>
        <w:rPr>
          <w:rFonts w:ascii="仿宋" w:hAnsi="仿宋" w:eastAsia="仿宋" w:cs="仿宋"/>
          <w:sz w:val="32"/>
          <w:szCs w:val="32"/>
        </w:rPr>
        <w:t>100%</w:t>
      </w:r>
      <w:r>
        <w:rPr>
          <w:rFonts w:hint="eastAsia" w:ascii="仿宋" w:hAnsi="仿宋" w:eastAsia="仿宋" w:cs="仿宋"/>
          <w:sz w:val="32"/>
          <w:szCs w:val="32"/>
        </w:rPr>
        <w:t>，群众满意度</w:t>
      </w:r>
      <w:r>
        <w:rPr>
          <w:rFonts w:ascii="仿宋" w:hAnsi="仿宋" w:eastAsia="仿宋" w:cs="仿宋"/>
          <w:sz w:val="32"/>
          <w:szCs w:val="32"/>
        </w:rPr>
        <w:t>95%</w:t>
      </w:r>
      <w:r>
        <w:rPr>
          <w:rFonts w:hint="eastAsia" w:ascii="仿宋" w:hAnsi="仿宋" w:eastAsia="仿宋" w:cs="仿宋"/>
          <w:sz w:val="32"/>
          <w:szCs w:val="32"/>
        </w:rPr>
        <w:t>。</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二、绩效自评工作开展情况</w:t>
      </w:r>
    </w:p>
    <w:p>
      <w:pPr>
        <w:spacing w:line="660" w:lineRule="exact"/>
        <w:ind w:firstLine="320" w:firstLineChars="100"/>
        <w:rPr>
          <w:rFonts w:ascii="仿宋" w:hAnsi="仿宋" w:eastAsia="仿宋" w:cs="仿宋"/>
          <w:sz w:val="32"/>
          <w:szCs w:val="32"/>
        </w:rPr>
      </w:pPr>
      <w:r>
        <w:rPr>
          <w:rFonts w:hint="eastAsia" w:ascii="仿宋" w:hAnsi="仿宋" w:eastAsia="仿宋" w:cs="仿宋"/>
          <w:sz w:val="32"/>
          <w:szCs w:val="32"/>
        </w:rPr>
        <w:t>（一）前期准备。</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按照县财政局《关于开展</w:t>
      </w:r>
      <w:r>
        <w:rPr>
          <w:rFonts w:ascii="仿宋" w:hAnsi="仿宋" w:eastAsia="仿宋" w:cs="仿宋"/>
          <w:kern w:val="0"/>
          <w:sz w:val="32"/>
          <w:szCs w:val="32"/>
        </w:rPr>
        <w:t>2018</w:t>
      </w:r>
      <w:r>
        <w:rPr>
          <w:rFonts w:hint="eastAsia" w:ascii="仿宋" w:hAnsi="仿宋" w:eastAsia="仿宋" w:cs="仿宋"/>
          <w:kern w:val="0"/>
          <w:sz w:val="32"/>
          <w:szCs w:val="32"/>
        </w:rPr>
        <w:t>年专项转移支付预算和绩效评价工作的通知》的要求</w:t>
      </w:r>
      <w:r>
        <w:rPr>
          <w:rFonts w:ascii="仿宋" w:hAnsi="仿宋" w:eastAsia="仿宋" w:cs="仿宋"/>
          <w:kern w:val="0"/>
          <w:sz w:val="32"/>
          <w:szCs w:val="32"/>
        </w:rPr>
        <w:t>,</w:t>
      </w:r>
      <w:r>
        <w:rPr>
          <w:rFonts w:hint="eastAsia" w:ascii="仿宋" w:hAnsi="仿宋" w:eastAsia="仿宋" w:cs="仿宋"/>
          <w:kern w:val="0"/>
          <w:sz w:val="32"/>
          <w:szCs w:val="32"/>
        </w:rPr>
        <w:t>县财政局、县教育局召集项目单位安排部署绩效评估工作。</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（二）组织过程。</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项目单位根据相关规定和要求，对项目的实施程序、专项资金使用内容完成情况、预算执行质量情况、资金使用管理情况以及支付资金原始资料归档完善情况等进行自查自评，并撰写自评报告上报县级主管部门；</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（三）分析评价。</w:t>
      </w:r>
    </w:p>
    <w:p>
      <w:pPr>
        <w:spacing w:line="6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县级主管部门深入实地，按照相关要求进行查看，检查资金收支程序是否规范、经费保障内容是否完成、预算执行质量是否达到要求、资金使用管理是否规范、资料是否完善等，并按照要求撰写绩效自评报告。</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三、综合评价结论</w:t>
      </w:r>
    </w:p>
    <w:p>
      <w:pPr>
        <w:spacing w:line="660" w:lineRule="exact"/>
        <w:ind w:left="420" w:leftChars="200" w:firstLine="640" w:firstLineChars="200"/>
        <w:rPr>
          <w:rFonts w:ascii="仿宋" w:hAnsi="仿宋" w:eastAsia="仿宋" w:cs="仿宋"/>
          <w:b/>
          <w:sz w:val="32"/>
          <w:szCs w:val="32"/>
        </w:rPr>
      </w:pPr>
      <w:r>
        <w:rPr>
          <w:rFonts w:ascii="仿宋" w:hAnsi="仿宋" w:eastAsia="仿宋" w:cs="仿宋"/>
          <w:kern w:val="0"/>
          <w:sz w:val="32"/>
          <w:szCs w:val="32"/>
        </w:rPr>
        <w:t>2018</w:t>
      </w:r>
      <w:r>
        <w:rPr>
          <w:rFonts w:hint="eastAsia" w:ascii="仿宋" w:hAnsi="仿宋" w:eastAsia="仿宋" w:cs="仿宋"/>
          <w:kern w:val="0"/>
          <w:sz w:val="32"/>
          <w:szCs w:val="32"/>
        </w:rPr>
        <w:t>年中央学新疆西藏等少数民族地区教育特殊补助资金（学前教育补助经费）项目总体评价是：项目科学合理，项目管理规范，项目监管到位，项目完成达标，项目质量较高，运行保障有力，群众反响较好。</w:t>
      </w:r>
      <w:r>
        <w:rPr>
          <w:rFonts w:ascii="仿宋" w:hAnsi="仿宋" w:eastAsia="仿宋" w:cs="仿宋"/>
          <w:kern w:val="0"/>
          <w:sz w:val="32"/>
          <w:szCs w:val="32"/>
        </w:rPr>
        <w:br w:type="textWrapping"/>
      </w:r>
      <w:r>
        <w:rPr>
          <w:rFonts w:hint="eastAsia" w:ascii="仿宋" w:hAnsi="仿宋" w:eastAsia="仿宋" w:cs="仿宋"/>
          <w:b/>
          <w:sz w:val="32"/>
          <w:szCs w:val="32"/>
        </w:rPr>
        <w:t>四、绩效目标实现情况分析</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（一）项目资金情况分析。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项目资金到位情况分析。大部分保障机制项目资金于</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4</w:t>
      </w:r>
      <w:r>
        <w:rPr>
          <w:rFonts w:hint="eastAsia" w:ascii="仿宋" w:hAnsi="仿宋" w:eastAsia="仿宋" w:cs="仿宋"/>
          <w:sz w:val="32"/>
          <w:szCs w:val="32"/>
        </w:rPr>
        <w:t>月底到达泽普县财政局，财政局通知泽普县教育局立即将</w:t>
      </w:r>
      <w:r>
        <w:rPr>
          <w:rFonts w:ascii="仿宋" w:hAnsi="仿宋" w:eastAsia="仿宋" w:cs="仿宋"/>
          <w:sz w:val="32"/>
          <w:szCs w:val="32"/>
        </w:rPr>
        <w:t>3349.44</w:t>
      </w:r>
      <w:r>
        <w:rPr>
          <w:rFonts w:hint="eastAsia" w:ascii="仿宋" w:hAnsi="仿宋" w:eastAsia="仿宋" w:cs="仿宋"/>
          <w:sz w:val="32"/>
          <w:szCs w:val="32"/>
        </w:rPr>
        <w:t>万元的项目资金拨付到县教育局基本户上，教育局核算中心及时进行分配资金并拨给基层幼儿园。</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项目资金执行情况分析。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按照保障机制资金下达文件要求编制经费预算，系统党委财务领导小组过会下达批复，各级各类幼儿园按制定的预算开支，保证专款专用，预算执行完成率</w:t>
      </w:r>
      <w:r>
        <w:rPr>
          <w:rFonts w:ascii="仿宋" w:hAnsi="仿宋" w:eastAsia="仿宋" w:cs="仿宋"/>
          <w:sz w:val="32"/>
          <w:szCs w:val="32"/>
        </w:rPr>
        <w:t>100%</w:t>
      </w:r>
      <w:r>
        <w:rPr>
          <w:rFonts w:hint="eastAsia" w:ascii="仿宋" w:hAnsi="仿宋" w:eastAsia="仿宋" w:cs="仿宋"/>
          <w:sz w:val="32"/>
          <w:szCs w:val="32"/>
        </w:rPr>
        <w:t>。</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项目资金管理情况分析。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项目资金由基层幼儿园执行预算，教育局统一核算，实行报账制。</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产出指标完成情况分析。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）项目完成数量。学前教育保障经费项目分为二个小项目，</w:t>
      </w:r>
      <w:r>
        <w:rPr>
          <w:rFonts w:hint="eastAsia" w:ascii="仿宋" w:hAnsi="仿宋" w:eastAsia="仿宋" w:cs="仿宋"/>
          <w:color w:val="333333"/>
          <w:sz w:val="32"/>
          <w:szCs w:val="32"/>
        </w:rPr>
        <w:t>一是幼儿园保教经费（包括学前教育公用经费、取暖费和幼儿保育员教师工资）；二是幼儿伙食费补助。项目资金指标已完成。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）项目完成质量。已完成的项目质量较高，幼儿园办学条件得到改善。</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）项目实施进度。学前教育保障机制资金按文件要求实施，已实施完成。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）项目成本节约情况。资金</w:t>
      </w:r>
      <w:r>
        <w:rPr>
          <w:rFonts w:ascii="仿宋" w:hAnsi="仿宋" w:eastAsia="仿宋" w:cs="仿宋"/>
          <w:sz w:val="32"/>
          <w:szCs w:val="32"/>
        </w:rPr>
        <w:t>100%</w:t>
      </w:r>
      <w:r>
        <w:rPr>
          <w:rFonts w:hint="eastAsia" w:ascii="仿宋" w:hAnsi="仿宋" w:eastAsia="仿宋" w:cs="仿宋"/>
          <w:sz w:val="32"/>
          <w:szCs w:val="32"/>
        </w:rPr>
        <w:t>用到了学前教育阶段预定的项目使用上。</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效益指标完成情况分析。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）项目实施的经济效益分析。项目资金按照指定的标准分配到每所幼儿园，教育局进行监督和统一核算。</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）项目实施的社会效益分析。为社会带来了良好的社会影响力。</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）项目实施的生态效益分析。按照专款专用的要求使用到各基层幼儿园的办学条件改善，为幼儿提供了良好的教育环境。</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）项目实施的可持续影响分析。实施学前教育保障机制，改善幼儿园办学条件，提高教学质量，满意各族人民对教育工作的需求。</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满意度指标完成情况分析。全县各族人民对我们的学前教育办学工作满意度</w:t>
      </w:r>
      <w:r>
        <w:rPr>
          <w:rFonts w:ascii="仿宋" w:hAnsi="仿宋" w:eastAsia="仿宋" w:cs="仿宋"/>
          <w:sz w:val="32"/>
          <w:szCs w:val="32"/>
        </w:rPr>
        <w:t>100%</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五、绩效目标未完成原因和下一步改进措施</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绩效目标已完成。</w:t>
      </w:r>
    </w:p>
    <w:p>
      <w:pPr>
        <w:numPr>
          <w:ilvl w:val="0"/>
          <w:numId w:val="1"/>
        </w:num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绩效自评结果拟应用和公开情况</w:t>
      </w:r>
    </w:p>
    <w:p>
      <w:pPr>
        <w:spacing w:line="660" w:lineRule="exact"/>
        <w:rPr>
          <w:rFonts w:ascii="仿宋" w:hAnsi="仿宋" w:eastAsia="仿宋" w:cs="仿宋"/>
          <w:bCs/>
          <w:sz w:val="32"/>
          <w:szCs w:val="32"/>
        </w:rPr>
      </w:pPr>
      <w:r>
        <w:rPr>
          <w:rFonts w:hint="eastAsia" w:ascii="仿宋" w:hAnsi="仿宋" w:eastAsia="仿宋" w:cs="仿宋"/>
          <w:bCs/>
          <w:sz w:val="32"/>
          <w:szCs w:val="32"/>
        </w:rPr>
        <w:t>按照县财政的要求对本项目在本单位进行公开。</w:t>
      </w:r>
    </w:p>
    <w:p>
      <w:pPr>
        <w:numPr>
          <w:ilvl w:val="0"/>
          <w:numId w:val="1"/>
        </w:num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绩效自评工作的经验、问题和建议。</w:t>
      </w:r>
    </w:p>
    <w:p>
      <w:pPr>
        <w:spacing w:line="660" w:lineRule="exact"/>
        <w:ind w:left="420" w:leftChars="200"/>
        <w:rPr>
          <w:rFonts w:ascii="仿宋" w:hAnsi="仿宋" w:eastAsia="仿宋" w:cs="仿宋"/>
          <w:bCs/>
          <w:sz w:val="32"/>
          <w:szCs w:val="32"/>
        </w:rPr>
      </w:pPr>
      <w:r>
        <w:rPr>
          <w:rFonts w:hint="eastAsia" w:ascii="仿宋" w:hAnsi="仿宋" w:eastAsia="仿宋" w:cs="仿宋"/>
          <w:bCs/>
          <w:sz w:val="32"/>
          <w:szCs w:val="32"/>
        </w:rPr>
        <w:t>项目后续管理有待进一步加强。</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八、其他需说明的问题。</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无。</w:t>
      </w:r>
    </w:p>
    <w:p>
      <w:pPr>
        <w:pStyle w:val="4"/>
        <w:widowControl/>
        <w:wordWrap w:val="0"/>
        <w:spacing w:beforeAutospacing="0" w:afterAutospacing="0" w:line="660" w:lineRule="exact"/>
        <w:rPr>
          <w:rFonts w:ascii="仿宋" w:hAnsi="仿宋" w:eastAsia="仿宋" w:cs="仿宋"/>
          <w:color w:val="333333"/>
          <w:sz w:val="32"/>
          <w:szCs w:val="32"/>
        </w:rPr>
      </w:pPr>
    </w:p>
    <w:p>
      <w:pPr>
        <w:spacing w:line="660" w:lineRule="exact"/>
        <w:rPr>
          <w:rFonts w:ascii="仿宋" w:hAnsi="仿宋" w:eastAsia="仿宋" w:cs="仿宋"/>
          <w:sz w:val="32"/>
          <w:szCs w:val="32"/>
        </w:rPr>
      </w:pPr>
    </w:p>
    <w:p>
      <w:pPr>
        <w:spacing w:line="660" w:lineRule="exact"/>
        <w:rPr>
          <w:rFonts w:ascii="仿宋" w:hAnsi="仿宋" w:eastAsia="仿宋" w:cs="仿宋"/>
          <w:sz w:val="32"/>
          <w:szCs w:val="32"/>
        </w:rPr>
      </w:pPr>
    </w:p>
    <w:p>
      <w:pPr>
        <w:spacing w:line="660" w:lineRule="exact"/>
        <w:rPr>
          <w:rFonts w:ascii="仿宋" w:hAnsi="仿宋" w:eastAsia="仿宋" w:cs="仿宋"/>
          <w:sz w:val="32"/>
          <w:szCs w:val="32"/>
        </w:rPr>
      </w:pPr>
    </w:p>
    <w:p>
      <w:pPr>
        <w:spacing w:line="660" w:lineRule="exact"/>
        <w:jc w:val="right"/>
        <w:rPr>
          <w:rFonts w:hint="eastAsia" w:ascii="仿宋" w:hAnsi="仿宋" w:eastAsia="仿宋" w:cs="仿宋"/>
          <w:sz w:val="32"/>
          <w:szCs w:val="32"/>
          <w:lang w:val="en-US" w:eastAsia="zh-CN"/>
        </w:rPr>
      </w:pPr>
      <w:bookmarkStart w:id="0" w:name="_GoBack"/>
      <w:r>
        <w:rPr>
          <w:rFonts w:hint="eastAsia" w:ascii="仿宋" w:hAnsi="仿宋" w:eastAsia="仿宋" w:cs="仿宋"/>
          <w:sz w:val="32"/>
          <w:szCs w:val="32"/>
          <w:lang w:val="en-US" w:eastAsia="zh-CN"/>
        </w:rPr>
        <w:t>泽普县教育和科学技术局</w:t>
      </w:r>
    </w:p>
    <w:p>
      <w:pPr>
        <w:spacing w:line="660" w:lineRule="exact"/>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26</w:t>
      </w:r>
      <w:r>
        <w:rPr>
          <w:rFonts w:hint="eastAsia" w:ascii="仿宋" w:hAnsi="仿宋" w:eastAsia="仿宋" w:cs="仿宋"/>
          <w:sz w:val="32"/>
          <w:szCs w:val="32"/>
        </w:rPr>
        <w:t>日</w:t>
      </w:r>
    </w:p>
    <w:bookmarkEnd w:id="0"/>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黑体"/>
    <w:panose1 w:val="00000000000000000000"/>
    <w:charset w:val="86"/>
    <w:family w:val="script"/>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Dotu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A3801B"/>
    <w:multiLevelType w:val="singleLevel"/>
    <w:tmpl w:val="A9A3801B"/>
    <w:lvl w:ilvl="0" w:tentative="0">
      <w:start w:val="6"/>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FC6612"/>
    <w:rsid w:val="00046F28"/>
    <w:rsid w:val="00050BF1"/>
    <w:rsid w:val="001C6846"/>
    <w:rsid w:val="001D599D"/>
    <w:rsid w:val="0025508C"/>
    <w:rsid w:val="00265839"/>
    <w:rsid w:val="002F1D6A"/>
    <w:rsid w:val="00364939"/>
    <w:rsid w:val="003A3DEE"/>
    <w:rsid w:val="00455393"/>
    <w:rsid w:val="00457948"/>
    <w:rsid w:val="004D78A3"/>
    <w:rsid w:val="00571C57"/>
    <w:rsid w:val="00580572"/>
    <w:rsid w:val="005B2696"/>
    <w:rsid w:val="005C395C"/>
    <w:rsid w:val="005D4467"/>
    <w:rsid w:val="005D6C83"/>
    <w:rsid w:val="006529BC"/>
    <w:rsid w:val="006D35BF"/>
    <w:rsid w:val="006F790E"/>
    <w:rsid w:val="007253EA"/>
    <w:rsid w:val="00752C2D"/>
    <w:rsid w:val="00776942"/>
    <w:rsid w:val="007828AD"/>
    <w:rsid w:val="007C2EE4"/>
    <w:rsid w:val="00823AA0"/>
    <w:rsid w:val="00920B5A"/>
    <w:rsid w:val="00923EAA"/>
    <w:rsid w:val="0093735E"/>
    <w:rsid w:val="0097557F"/>
    <w:rsid w:val="009F1096"/>
    <w:rsid w:val="00A75889"/>
    <w:rsid w:val="00AC4BC5"/>
    <w:rsid w:val="00AD281F"/>
    <w:rsid w:val="00B5365C"/>
    <w:rsid w:val="00B72224"/>
    <w:rsid w:val="00BB542D"/>
    <w:rsid w:val="00C06526"/>
    <w:rsid w:val="00C45F20"/>
    <w:rsid w:val="00C469D6"/>
    <w:rsid w:val="00C6597A"/>
    <w:rsid w:val="00CE3AE4"/>
    <w:rsid w:val="00CF3903"/>
    <w:rsid w:val="00D70720"/>
    <w:rsid w:val="00E96A59"/>
    <w:rsid w:val="00F21D6E"/>
    <w:rsid w:val="00F36955"/>
    <w:rsid w:val="00F4189F"/>
    <w:rsid w:val="00F61F1E"/>
    <w:rsid w:val="00FA1A8C"/>
    <w:rsid w:val="00FC22EC"/>
    <w:rsid w:val="03551361"/>
    <w:rsid w:val="05D50FC1"/>
    <w:rsid w:val="06D53C5A"/>
    <w:rsid w:val="19C770FD"/>
    <w:rsid w:val="1F0405AC"/>
    <w:rsid w:val="203C0614"/>
    <w:rsid w:val="27AA29D5"/>
    <w:rsid w:val="28E35B11"/>
    <w:rsid w:val="290D3A39"/>
    <w:rsid w:val="2A402B31"/>
    <w:rsid w:val="352E160E"/>
    <w:rsid w:val="35610334"/>
    <w:rsid w:val="38881A2B"/>
    <w:rsid w:val="3A0D6AD2"/>
    <w:rsid w:val="52962BC1"/>
    <w:rsid w:val="554F34D5"/>
    <w:rsid w:val="56321E88"/>
    <w:rsid w:val="642C7598"/>
    <w:rsid w:val="66D0158D"/>
    <w:rsid w:val="6D535020"/>
    <w:rsid w:val="71A76B73"/>
    <w:rsid w:val="73FC6612"/>
    <w:rsid w:val="77273325"/>
    <w:rsid w:val="7F4476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semiHidden/>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character" w:styleId="6">
    <w:name w:val="FollowedHyperlink"/>
    <w:basedOn w:val="5"/>
    <w:uiPriority w:val="99"/>
    <w:rPr>
      <w:rFonts w:cs="Times New Roman"/>
      <w:color w:val="333333"/>
      <w:u w:val="none"/>
    </w:rPr>
  </w:style>
  <w:style w:type="character" w:styleId="7">
    <w:name w:val="Hyperlink"/>
    <w:basedOn w:val="5"/>
    <w:qFormat/>
    <w:uiPriority w:val="99"/>
    <w:rPr>
      <w:rFonts w:cs="Times New Roman"/>
      <w:color w:val="333333"/>
      <w:u w:val="none"/>
    </w:rPr>
  </w:style>
  <w:style w:type="character" w:customStyle="1" w:styleId="9">
    <w:name w:val="页脚 Char"/>
    <w:basedOn w:val="5"/>
    <w:link w:val="2"/>
    <w:semiHidden/>
    <w:qFormat/>
    <w:locked/>
    <w:uiPriority w:val="99"/>
    <w:rPr>
      <w:rFonts w:ascii="Calibri" w:hAnsi="Calibri" w:cs="Arial"/>
      <w:kern w:val="2"/>
      <w:sz w:val="18"/>
      <w:szCs w:val="18"/>
    </w:rPr>
  </w:style>
  <w:style w:type="character" w:customStyle="1" w:styleId="10">
    <w:name w:val="页眉 Char"/>
    <w:basedOn w:val="5"/>
    <w:link w:val="3"/>
    <w:semiHidden/>
    <w:locked/>
    <w:uiPriority w:val="99"/>
    <w:rPr>
      <w:rFonts w:ascii="Calibri" w:hAnsi="Calibri" w:cs="Arial"/>
      <w:kern w:val="2"/>
      <w:sz w:val="18"/>
      <w:szCs w:val="18"/>
    </w:rPr>
  </w:style>
  <w:style w:type="character" w:customStyle="1" w:styleId="11">
    <w:name w:val="current"/>
    <w:basedOn w:val="5"/>
    <w:qFormat/>
    <w:uiPriority w:val="99"/>
    <w:rPr>
      <w:rFonts w:cs="Times New Roman"/>
      <w:b/>
      <w:color w:val="99210B"/>
    </w:rPr>
  </w:style>
  <w:style w:type="character" w:customStyle="1" w:styleId="12">
    <w:name w:val="disabled"/>
    <w:basedOn w:val="5"/>
    <w:qFormat/>
    <w:uiPriority w:val="99"/>
    <w:rPr>
      <w:rFonts w:cs="Times New Roman"/>
      <w:color w:val="99210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6</Pages>
  <Words>297</Words>
  <Characters>1699</Characters>
  <Lines>14</Lines>
  <Paragraphs>3</Paragraphs>
  <TotalTime>56</TotalTime>
  <ScaleCrop>false</ScaleCrop>
  <LinksUpToDate>false</LinksUpToDate>
  <CharactersWithSpaces>1993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2018-11-04T11:55:00Z</dcterms:created>
  <dc:creator>林丽</dc:creator>
  <cp:lastModifiedBy>Administrator</cp:lastModifiedBy>
  <dcterms:modified xsi:type="dcterms:W3CDTF">2019-01-26T09:50:37Z</dcterms:modified>
  <dc:title>中央学前教育专项转移支付2018年度绩效自评</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