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1</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hAnsi="宋体" w:cs="宋体"/>
          <w:kern w:val="0"/>
          <w:sz w:val="36"/>
          <w:szCs w:val="36"/>
        </w:rPr>
      </w:pPr>
      <w:r>
        <w:rPr>
          <w:rFonts w:hint="eastAsia" w:hAnsi="宋体" w:cs="宋体"/>
          <w:kern w:val="0"/>
          <w:sz w:val="36"/>
          <w:szCs w:val="36"/>
        </w:rPr>
        <w:t>（</w:t>
      </w:r>
      <w:r>
        <w:rPr>
          <w:rFonts w:hAnsi="宋体" w:cs="宋体"/>
          <w:kern w:val="0"/>
          <w:sz w:val="36"/>
          <w:szCs w:val="36"/>
        </w:rPr>
        <w:t xml:space="preserve">   2018</w:t>
      </w:r>
      <w:r>
        <w:rPr>
          <w:rFonts w:hint="eastAsia" w:hAnsi="宋体" w:cs="宋体"/>
          <w:kern w:val="0"/>
          <w:sz w:val="36"/>
          <w:szCs w:val="36"/>
        </w:rPr>
        <w:t xml:space="preserve"> 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int="eastAsia" w:ascii="华文中宋" w:hAnsi="华文中宋" w:eastAsia="华文中宋" w:cs="宋体"/>
          <w:b/>
          <w:kern w:val="0"/>
          <w:sz w:val="44"/>
          <w:szCs w:val="44"/>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Ansi="宋体" w:cs="宋体"/>
          <w:kern w:val="0"/>
          <w:szCs w:val="30"/>
        </w:rPr>
      </w:pP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项目名称：城乡义务教育补助项目</w:t>
      </w: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实施单位（公章）：泽普县教育和科学技术局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主管部门（公章）：泽普县教育和科学技术局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项目负责人（签章）：梁信民</w:t>
      </w:r>
    </w:p>
    <w:p>
      <w:pPr>
        <w:spacing w:line="700" w:lineRule="exact"/>
        <w:ind w:firstLine="849" w:firstLineChars="236"/>
        <w:jc w:val="left"/>
        <w:rPr>
          <w:rFonts w:hAnsi="宋体" w:cs="宋体"/>
          <w:kern w:val="0"/>
          <w:sz w:val="36"/>
          <w:szCs w:val="36"/>
        </w:rPr>
      </w:pPr>
      <w:r>
        <w:rPr>
          <w:rFonts w:hint="eastAsia" w:hAnsi="宋体" w:cs="宋体"/>
          <w:kern w:val="0"/>
          <w:sz w:val="36"/>
          <w:szCs w:val="36"/>
        </w:rPr>
        <w:t>填报时间：</w:t>
      </w:r>
      <w:r>
        <w:rPr>
          <w:rFonts w:hAnsi="宋体" w:cs="宋体"/>
          <w:kern w:val="0"/>
          <w:sz w:val="36"/>
          <w:szCs w:val="36"/>
        </w:rPr>
        <w:t xml:space="preserve">     2018</w:t>
      </w:r>
      <w:r>
        <w:rPr>
          <w:rFonts w:hint="eastAsia" w:hAnsi="宋体" w:cs="宋体"/>
          <w:kern w:val="0"/>
          <w:sz w:val="36"/>
          <w:szCs w:val="36"/>
        </w:rPr>
        <w:t>年</w:t>
      </w:r>
      <w:r>
        <w:rPr>
          <w:rFonts w:hAnsi="宋体" w:cs="宋体"/>
          <w:kern w:val="0"/>
          <w:sz w:val="36"/>
          <w:szCs w:val="36"/>
        </w:rPr>
        <w:t xml:space="preserve">   12 </w:t>
      </w:r>
      <w:r>
        <w:rPr>
          <w:rFonts w:hint="eastAsia" w:hAnsi="宋体" w:cs="宋体"/>
          <w:kern w:val="0"/>
          <w:sz w:val="36"/>
          <w:szCs w:val="36"/>
        </w:rPr>
        <w:t>月</w:t>
      </w:r>
      <w:r>
        <w:rPr>
          <w:rFonts w:hAnsi="宋体" w:cs="宋体"/>
          <w:kern w:val="0"/>
          <w:sz w:val="36"/>
          <w:szCs w:val="36"/>
        </w:rPr>
        <w:t xml:space="preserve">  26 </w:t>
      </w:r>
      <w:r>
        <w:rPr>
          <w:rFonts w:hint="eastAsia" w:hAnsi="宋体" w:cs="宋体"/>
          <w:kern w:val="0"/>
          <w:sz w:val="36"/>
          <w:szCs w:val="36"/>
        </w:rPr>
        <w:t>日</w:t>
      </w:r>
    </w:p>
    <w:p>
      <w:pPr>
        <w:widowControl/>
        <w:spacing w:line="660" w:lineRule="exact"/>
        <w:jc w:val="center"/>
        <w:rPr>
          <w:rFonts w:ascii="方正小标宋简体" w:hAnsi="仿宋" w:eastAsia="方正小标宋简体" w:cs="仿宋"/>
          <w:b/>
          <w:sz w:val="36"/>
          <w:szCs w:val="36"/>
        </w:rPr>
      </w:pPr>
      <w:r>
        <w:rPr>
          <w:rFonts w:ascii="方正小标宋简体" w:hAnsi="仿宋" w:eastAsia="方正小标宋简体" w:cs="仿宋"/>
          <w:b/>
          <w:sz w:val="36"/>
          <w:szCs w:val="36"/>
        </w:rPr>
        <w:br w:type="page"/>
      </w:r>
      <w:r>
        <w:rPr>
          <w:rFonts w:ascii="方正小标宋简体" w:hAnsi="仿宋" w:eastAsia="方正小标宋简体" w:cs="仿宋"/>
          <w:b/>
          <w:sz w:val="36"/>
          <w:szCs w:val="36"/>
        </w:rPr>
        <w:t>
2018</w:t>
      </w:r>
      <w:r>
        <w:rPr>
          <w:rFonts w:hint="eastAsia" w:ascii="方正小标宋简体" w:hAnsi="仿宋" w:eastAsia="方正小标宋简体" w:cs="仿宋"/>
          <w:b/>
          <w:sz w:val="36"/>
          <w:szCs w:val="36"/>
        </w:rPr>
        <w:t>年度城乡义务教育补助经费（国家特岗教师工资）项目绩效自评报告</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一、基本情况</w:t>
      </w:r>
    </w:p>
    <w:p>
      <w:pPr>
        <w:pStyle w:val="4"/>
        <w:widowControl/>
        <w:wordWrap w:val="0"/>
        <w:spacing w:beforeAutospacing="0" w:afterAutospacing="0" w:line="660" w:lineRule="exact"/>
        <w:ind w:firstLine="64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落实项目主管部门。泽普县教育局作为项目主管部门，对特岗教师工资专项资金项目全面履行监管责任：一是督促及时制定资金预算，确保按预算支付专款专用；二是加强预算执行的全程监督，定期不定期检查预算执行情况；三是及时拨付资金，加强资金使用监管；四是督促统发工资支付进度，提高保障工资性经费的按时发放。</w:t>
      </w:r>
    </w:p>
    <w:p>
      <w:pPr>
        <w:pStyle w:val="4"/>
        <w:widowControl/>
        <w:wordWrap w:val="0"/>
        <w:spacing w:beforeAutospacing="0" w:afterAutospacing="0" w:line="660" w:lineRule="exact"/>
        <w:ind w:firstLine="640"/>
        <w:rPr>
          <w:rFonts w:ascii="仿宋" w:hAnsi="仿宋" w:eastAsia="仿宋" w:cs="仿宋"/>
          <w:color w:val="333333"/>
          <w:sz w:val="32"/>
          <w:szCs w:val="32"/>
        </w:rPr>
      </w:pPr>
      <w:r>
        <w:rPr>
          <w:rFonts w:ascii="仿宋" w:hAnsi="仿宋" w:eastAsia="仿宋" w:cs="仿宋"/>
          <w:sz w:val="32"/>
          <w:szCs w:val="32"/>
        </w:rPr>
        <w:t xml:space="preserve"> 2</w:t>
      </w:r>
      <w:r>
        <w:rPr>
          <w:rFonts w:hint="eastAsia" w:ascii="仿宋" w:hAnsi="仿宋" w:eastAsia="仿宋" w:cs="仿宋"/>
          <w:sz w:val="32"/>
          <w:szCs w:val="32"/>
        </w:rPr>
        <w:t>．根据喀地财教</w:t>
      </w:r>
      <w:r>
        <w:rPr>
          <w:rFonts w:ascii="仿宋" w:hAnsi="仿宋" w:eastAsia="仿宋" w:cs="仿宋"/>
          <w:sz w:val="32"/>
          <w:szCs w:val="32"/>
        </w:rPr>
        <w:t>[2018]</w:t>
      </w:r>
      <w:r>
        <w:rPr>
          <w:rFonts w:hint="eastAsia" w:ascii="仿宋" w:hAnsi="仿宋" w:eastAsia="仿宋" w:cs="仿宋"/>
          <w:sz w:val="32"/>
          <w:szCs w:val="32"/>
        </w:rPr>
        <w:t>27号、43号、68号、78号号文件关于下达</w:t>
      </w:r>
      <w:r>
        <w:rPr>
          <w:rFonts w:ascii="仿宋" w:hAnsi="仿宋" w:eastAsia="仿宋" w:cs="仿宋"/>
          <w:sz w:val="32"/>
          <w:szCs w:val="32"/>
        </w:rPr>
        <w:t>2018</w:t>
      </w:r>
      <w:r>
        <w:rPr>
          <w:rFonts w:hint="eastAsia" w:ascii="仿宋" w:hAnsi="仿宋" w:eastAsia="仿宋" w:cs="仿宋"/>
          <w:sz w:val="32"/>
          <w:szCs w:val="32"/>
        </w:rPr>
        <w:t>年度城乡义务教育补助经费（国家特岗教师工资）资金的2189.32万元作为全县各级各类校园特岗教师工资。项目资金主要用特岗教师工资。</w:t>
      </w:r>
      <w:r>
        <w:rPr>
          <w:rFonts w:ascii="仿宋" w:hAnsi="仿宋" w:eastAsia="仿宋" w:cs="仿宋"/>
          <w:sz w:val="32"/>
          <w:szCs w:val="32"/>
        </w:rPr>
        <w:br w:type="textWrapping"/>
      </w:r>
      <w:r>
        <w:rPr>
          <w:rFonts w:ascii="仿宋" w:hAnsi="仿宋" w:eastAsia="仿宋" w:cs="仿宋"/>
          <w:sz w:val="32"/>
          <w:szCs w:val="32"/>
        </w:rPr>
        <w:t>
    3</w:t>
      </w:r>
      <w:r>
        <w:rPr>
          <w:rFonts w:hint="eastAsia" w:ascii="仿宋" w:hAnsi="仿宋" w:eastAsia="仿宋" w:cs="仿宋"/>
          <w:sz w:val="32"/>
          <w:szCs w:val="32"/>
        </w:rPr>
        <w:t>．专项资金支持条件及资金使用管理情况。教育局严格按照项目资金规定的专项资金支持的项目条件和范围要求，确定特岗教师工资专项资金支持的项目，严格按照有关规定使用管理专项资金。</w:t>
      </w:r>
      <w:r>
        <w:rPr>
          <w:rFonts w:ascii="仿宋" w:hAnsi="仿宋" w:eastAsia="仿宋" w:cs="仿宋"/>
          <w:sz w:val="32"/>
          <w:szCs w:val="32"/>
        </w:rPr>
        <w:br w:type="textWrapping"/>
      </w:r>
      <w:r>
        <w:rPr>
          <w:rFonts w:ascii="仿宋" w:hAnsi="仿宋" w:eastAsia="仿宋" w:cs="仿宋"/>
          <w:sz w:val="32"/>
          <w:szCs w:val="32"/>
        </w:rPr>
        <w:t>
</w:t>
      </w:r>
      <w:r>
        <w:rPr>
          <w:rFonts w:hint="eastAsia" w:ascii="仿宋" w:hAnsi="仿宋" w:eastAsia="仿宋" w:cs="仿宋"/>
          <w:sz w:val="32"/>
          <w:szCs w:val="32"/>
        </w:rPr>
        <w:t>（一）中央下达专项资金预算和绩效目标情况。</w:t>
      </w:r>
    </w:p>
    <w:p>
      <w:pPr>
        <w:spacing w:line="660" w:lineRule="exact"/>
        <w:outlineLvl w:val="0"/>
        <w:rPr>
          <w:rFonts w:ascii="仿宋" w:hAnsi="仿宋" w:eastAsia="仿宋" w:cs="仿宋"/>
          <w:sz w:val="32"/>
          <w:szCs w:val="32"/>
        </w:rPr>
      </w:pPr>
      <w:r>
        <w:rPr>
          <w:rFonts w:hint="eastAsia" w:ascii="仿宋" w:hAnsi="仿宋" w:eastAsia="仿宋" w:cs="仿宋"/>
          <w:sz w:val="32"/>
          <w:szCs w:val="32"/>
        </w:rPr>
        <w:t>按照中央下达的专项资金预算和绩效目标我县教育系统该资金的预算执行完成率</w:t>
      </w:r>
      <w:r>
        <w:rPr>
          <w:rFonts w:ascii="仿宋" w:hAnsi="仿宋" w:eastAsia="仿宋" w:cs="仿宋"/>
          <w:sz w:val="32"/>
          <w:szCs w:val="32"/>
        </w:rPr>
        <w:t>100%</w:t>
      </w:r>
      <w:r>
        <w:rPr>
          <w:rFonts w:hint="eastAsia" w:ascii="仿宋" w:hAnsi="仿宋" w:eastAsia="仿宋" w:cs="仿宋"/>
          <w:sz w:val="32"/>
          <w:szCs w:val="32"/>
        </w:rPr>
        <w:t>，群众满意度95</w:t>
      </w:r>
      <w:r>
        <w:rPr>
          <w:rFonts w:ascii="仿宋" w:hAnsi="仿宋" w:eastAsia="仿宋" w:cs="仿宋"/>
          <w:sz w:val="32"/>
          <w:szCs w:val="32"/>
        </w:rPr>
        <w:t>%</w:t>
      </w:r>
      <w:r>
        <w:rPr>
          <w:rFonts w:hint="eastAsia" w:ascii="仿宋" w:hAnsi="仿宋" w:eastAsia="仿宋" w:cs="仿宋"/>
          <w:sz w:val="32"/>
          <w:szCs w:val="32"/>
        </w:rPr>
        <w:t>。</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二、绩效自评工作开展情况</w:t>
      </w:r>
    </w:p>
    <w:p>
      <w:pPr>
        <w:spacing w:line="660" w:lineRule="exact"/>
        <w:ind w:firstLine="320" w:firstLineChars="100"/>
        <w:rPr>
          <w:rFonts w:ascii="仿宋" w:hAnsi="仿宋" w:eastAsia="仿宋" w:cs="仿宋"/>
          <w:sz w:val="32"/>
          <w:szCs w:val="32"/>
        </w:rPr>
      </w:pPr>
      <w:r>
        <w:rPr>
          <w:rFonts w:hint="eastAsia" w:ascii="仿宋" w:hAnsi="仿宋" w:eastAsia="仿宋" w:cs="仿宋"/>
          <w:sz w:val="32"/>
          <w:szCs w:val="32"/>
        </w:rPr>
        <w:t>（一）前期准备。</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按照县财政局《关于开展</w:t>
      </w:r>
      <w:r>
        <w:rPr>
          <w:rFonts w:ascii="仿宋" w:hAnsi="仿宋" w:eastAsia="仿宋" w:cs="仿宋"/>
          <w:kern w:val="0"/>
          <w:sz w:val="32"/>
          <w:szCs w:val="32"/>
        </w:rPr>
        <w:t>2018</w:t>
      </w:r>
      <w:r>
        <w:rPr>
          <w:rFonts w:hint="eastAsia" w:ascii="仿宋" w:hAnsi="仿宋" w:eastAsia="仿宋" w:cs="仿宋"/>
          <w:kern w:val="0"/>
          <w:sz w:val="32"/>
          <w:szCs w:val="32"/>
        </w:rPr>
        <w:t>年专项资金预算和绩效评价工作的通知》的要求</w:t>
      </w:r>
      <w:r>
        <w:rPr>
          <w:rFonts w:ascii="仿宋" w:hAnsi="仿宋" w:eastAsia="仿宋" w:cs="仿宋"/>
          <w:kern w:val="0"/>
          <w:sz w:val="32"/>
          <w:szCs w:val="32"/>
        </w:rPr>
        <w:t>,</w:t>
      </w:r>
      <w:r>
        <w:rPr>
          <w:rFonts w:hint="eastAsia" w:ascii="仿宋" w:hAnsi="仿宋" w:eastAsia="仿宋" w:cs="仿宋"/>
          <w:kern w:val="0"/>
          <w:sz w:val="32"/>
          <w:szCs w:val="32"/>
        </w:rPr>
        <w:t>县财政局、县教育局召集项目单位安排部署绩效评估工作。</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（二）组织过程。</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项目单位根据相关规定和要求，对项目的实施程序、专项资金使用内容完成情况、预算执行质量情况、资金使用管理情况以及支付资金原始资料归档完善情况等进行自查自评，并撰写自评报告上报县级主管部门；</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（三）分析评价。</w:t>
      </w:r>
    </w:p>
    <w:p>
      <w:pPr>
        <w:spacing w:line="6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县级主管部门深入实地，按照相关要求进行查看，检查资金收支程序是否规范、项目资金内容是否完成、预算执行质量是否达到要求、资金使用管理是否规范、资料是否完善等，并按照要求撰写绩效自评报告。</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三、综合评价结论</w:t>
      </w:r>
    </w:p>
    <w:p>
      <w:pPr>
        <w:spacing w:line="660" w:lineRule="exact"/>
        <w:ind w:left="420" w:leftChars="200" w:firstLine="640" w:firstLineChars="200"/>
        <w:rPr>
          <w:rFonts w:ascii="仿宋" w:hAnsi="仿宋" w:eastAsia="仿宋" w:cs="仿宋"/>
          <w:b/>
          <w:sz w:val="32"/>
          <w:szCs w:val="32"/>
        </w:rPr>
      </w:pPr>
      <w:r>
        <w:rPr>
          <w:rFonts w:ascii="仿宋" w:hAnsi="仿宋" w:eastAsia="仿宋" w:cs="仿宋"/>
          <w:kern w:val="0"/>
          <w:sz w:val="32"/>
          <w:szCs w:val="32"/>
        </w:rPr>
        <w:t>2018</w:t>
      </w:r>
      <w:r>
        <w:rPr>
          <w:rFonts w:hint="eastAsia" w:ascii="仿宋" w:hAnsi="仿宋" w:eastAsia="仿宋" w:cs="仿宋"/>
          <w:kern w:val="0"/>
          <w:sz w:val="32"/>
          <w:szCs w:val="32"/>
        </w:rPr>
        <w:t>年度城乡义务教育补助经费（国家特岗教师工资）项目总体评价是：项目科学合理，项目管理规范，项目监管到位，项目完成达标，项目质量较高，运行保障有力，群众反响较好。</w:t>
      </w:r>
      <w:r>
        <w:rPr>
          <w:rFonts w:ascii="仿宋" w:hAnsi="仿宋" w:eastAsia="仿宋" w:cs="仿宋"/>
          <w:kern w:val="0"/>
          <w:sz w:val="32"/>
          <w:szCs w:val="32"/>
        </w:rPr>
        <w:br w:type="textWrapping"/>
      </w:r>
      <w:r>
        <w:rPr>
          <w:rFonts w:ascii="仿宋" w:hAnsi="仿宋" w:eastAsia="仿宋" w:cs="仿宋"/>
          <w:kern w:val="0"/>
          <w:sz w:val="32"/>
          <w:szCs w:val="32"/>
        </w:rPr>
        <w:t>
</w:t>
      </w:r>
      <w:r>
        <w:rPr>
          <w:rFonts w:hint="eastAsia" w:ascii="仿宋" w:hAnsi="仿宋" w:eastAsia="仿宋" w:cs="仿宋"/>
          <w:b/>
          <w:sz w:val="32"/>
          <w:szCs w:val="32"/>
        </w:rPr>
        <w:t>四、绩效目标实现情况分析</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（一）项目资金情况分析。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项目资金到位情况分析。大部分保障机制项目资金于</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6</w:t>
      </w:r>
      <w:r>
        <w:rPr>
          <w:rFonts w:hint="eastAsia" w:ascii="仿宋" w:hAnsi="仿宋" w:eastAsia="仿宋" w:cs="仿宋"/>
          <w:sz w:val="32"/>
          <w:szCs w:val="32"/>
        </w:rPr>
        <w:t>月底到达泽普县财政局，财政局拨付到教育局帐户，每月工资由教育局报工商银行以代发形式发放特岗教师。</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项目资金执行情况分析。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按照保障机制资金下达文件要求编制项目资金预算，预算执行完成率</w:t>
      </w:r>
      <w:r>
        <w:rPr>
          <w:rFonts w:ascii="仿宋" w:hAnsi="仿宋" w:eastAsia="仿宋" w:cs="仿宋"/>
          <w:sz w:val="32"/>
          <w:szCs w:val="32"/>
        </w:rPr>
        <w:t>100%</w:t>
      </w:r>
      <w:r>
        <w:rPr>
          <w:rFonts w:hint="eastAsia" w:ascii="仿宋" w:hAnsi="仿宋" w:eastAsia="仿宋" w:cs="仿宋"/>
          <w:sz w:val="32"/>
          <w:szCs w:val="32"/>
        </w:rPr>
        <w:t>。</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项目资金管理情况分析。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项目资金按每月工资银行以代发形式发放特岗教师。</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产出指标完成情况分析。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）项目完成数量。按要求每月工资统发形式发放特岗教师，项目已完成。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）项目完成质量。已完成的项目质量较高，保证特岗教师人员经费的按时发放。</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）项目实施进度。项目资金按文件要求实施，已实施完成。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）项目成本节约情况。资金</w:t>
      </w:r>
      <w:r>
        <w:rPr>
          <w:rFonts w:ascii="仿宋" w:hAnsi="仿宋" w:eastAsia="仿宋" w:cs="仿宋"/>
          <w:sz w:val="32"/>
          <w:szCs w:val="32"/>
        </w:rPr>
        <w:t>100%</w:t>
      </w:r>
      <w:r>
        <w:rPr>
          <w:rFonts w:hint="eastAsia" w:ascii="仿宋" w:hAnsi="仿宋" w:eastAsia="仿宋" w:cs="仿宋"/>
          <w:sz w:val="32"/>
          <w:szCs w:val="32"/>
        </w:rPr>
        <w:t>用到了特岗教师工资项目使用上。</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效益指标完成情况分析。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）项目实施的经济效益分析。项目资金按照指定的标准发放特岗教师，达到已计划的经济效益。</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）项目实施的社会效益分析。保证教师队伍</w:t>
      </w:r>
      <w:bookmarkStart w:id="0" w:name="_GoBack"/>
      <w:bookmarkEnd w:id="0"/>
      <w:r>
        <w:rPr>
          <w:rFonts w:hint="eastAsia" w:ascii="仿宋" w:hAnsi="仿宋" w:eastAsia="仿宋" w:cs="仿宋"/>
          <w:sz w:val="32"/>
          <w:szCs w:val="32"/>
        </w:rPr>
        <w:t>，为社会带来了良好的社会影响力。</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）项目实施的生态效益分析。按照专款专用的要求使用到特岗教师的工资性经费。</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）项目实施的可持续影响分析。保证教师队伍的性，提高教学质量，满意各族人民对教育工作的需求。</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满意度指标完成情况分析。全县各族人民对我们的工作满意度</w:t>
      </w:r>
      <w:r>
        <w:rPr>
          <w:rFonts w:ascii="仿宋" w:hAnsi="仿宋" w:eastAsia="仿宋" w:cs="仿宋"/>
          <w:sz w:val="32"/>
          <w:szCs w:val="32"/>
        </w:rPr>
        <w:t>100%</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五、绩效目标未完成原因和下一步改进措施</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绩效目标已完成。</w:t>
      </w:r>
    </w:p>
    <w:p>
      <w:pPr>
        <w:numPr>
          <w:ilvl w:val="0"/>
          <w:numId w:val="1"/>
        </w:num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绩效自评结果拟应用和公开情况</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按照县财政的要求对本项目在本单位进行公开。</w:t>
      </w:r>
    </w:p>
    <w:p>
      <w:pPr>
        <w:numPr>
          <w:ilvl w:val="0"/>
          <w:numId w:val="1"/>
        </w:num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绩效自评工作的经验、问题和建议。</w:t>
      </w:r>
    </w:p>
    <w:p>
      <w:pPr>
        <w:spacing w:line="660" w:lineRule="exact"/>
        <w:ind w:left="420" w:leftChars="200" w:firstLine="160" w:firstLineChars="50"/>
        <w:rPr>
          <w:rFonts w:ascii="仿宋" w:hAnsi="仿宋" w:eastAsia="仿宋" w:cs="仿宋"/>
          <w:bCs/>
          <w:sz w:val="32"/>
          <w:szCs w:val="32"/>
        </w:rPr>
      </w:pPr>
      <w:r>
        <w:rPr>
          <w:rFonts w:hint="eastAsia" w:ascii="仿宋" w:hAnsi="仿宋" w:eastAsia="仿宋" w:cs="仿宋"/>
          <w:bCs/>
          <w:sz w:val="32"/>
          <w:szCs w:val="32"/>
        </w:rPr>
        <w:t>无。</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八、其他需说明的问题。</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无。</w:t>
      </w:r>
    </w:p>
    <w:p>
      <w:pPr>
        <w:pStyle w:val="4"/>
        <w:widowControl/>
        <w:wordWrap w:val="0"/>
        <w:spacing w:beforeAutospacing="0" w:afterAutospacing="0" w:line="660" w:lineRule="exact"/>
        <w:rPr>
          <w:rFonts w:ascii="仿宋" w:hAnsi="仿宋" w:eastAsia="仿宋" w:cs="仿宋"/>
          <w:color w:val="333333"/>
          <w:sz w:val="32"/>
          <w:szCs w:val="32"/>
        </w:rPr>
      </w:pPr>
    </w:p>
    <w:p>
      <w:pPr>
        <w:spacing w:line="660" w:lineRule="exact"/>
        <w:jc w:val="right"/>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泽普县教育和科学技术局</w:t>
      </w:r>
    </w:p>
    <w:p>
      <w:pPr>
        <w:spacing w:line="660" w:lineRule="exact"/>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26</w:t>
      </w:r>
      <w:r>
        <w:rPr>
          <w:rFonts w:hint="eastAsia" w:ascii="仿宋" w:hAnsi="仿宋" w:eastAsia="仿宋" w:cs="仿宋"/>
          <w:sz w:val="32"/>
          <w:szCs w:val="32"/>
        </w:rPr>
        <w:t>日</w:t>
      </w:r>
    </w:p>
    <w:p>
      <w:pPr>
        <w:spacing w:line="660" w:lineRule="exact"/>
        <w:jc w:val="right"/>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黑体"/>
    <w:panose1 w:val="00000000000000000000"/>
    <w:charset w:val="86"/>
    <w:family w:val="script"/>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A3801B"/>
    <w:multiLevelType w:val="singleLevel"/>
    <w:tmpl w:val="A9A3801B"/>
    <w:lvl w:ilvl="0" w:tentative="0">
      <w:start w:val="6"/>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FC6612"/>
    <w:rsid w:val="00046F28"/>
    <w:rsid w:val="000C62F5"/>
    <w:rsid w:val="001814D1"/>
    <w:rsid w:val="001D599D"/>
    <w:rsid w:val="0025508C"/>
    <w:rsid w:val="00265839"/>
    <w:rsid w:val="00392424"/>
    <w:rsid w:val="00455393"/>
    <w:rsid w:val="00457948"/>
    <w:rsid w:val="004C78E6"/>
    <w:rsid w:val="004D78A3"/>
    <w:rsid w:val="00571C57"/>
    <w:rsid w:val="00580572"/>
    <w:rsid w:val="00590215"/>
    <w:rsid w:val="005B2696"/>
    <w:rsid w:val="005E0874"/>
    <w:rsid w:val="005E1B1E"/>
    <w:rsid w:val="005F17A1"/>
    <w:rsid w:val="006529BC"/>
    <w:rsid w:val="00663147"/>
    <w:rsid w:val="006D35BF"/>
    <w:rsid w:val="006E6A9D"/>
    <w:rsid w:val="00724FEA"/>
    <w:rsid w:val="007253EA"/>
    <w:rsid w:val="00752C2D"/>
    <w:rsid w:val="00776942"/>
    <w:rsid w:val="007828AD"/>
    <w:rsid w:val="007C46B2"/>
    <w:rsid w:val="007E36CE"/>
    <w:rsid w:val="007F45D3"/>
    <w:rsid w:val="00823AA0"/>
    <w:rsid w:val="00920B5A"/>
    <w:rsid w:val="00923EAA"/>
    <w:rsid w:val="0093735E"/>
    <w:rsid w:val="0097557F"/>
    <w:rsid w:val="009C0E33"/>
    <w:rsid w:val="00A75889"/>
    <w:rsid w:val="00AC4BC5"/>
    <w:rsid w:val="00AD281F"/>
    <w:rsid w:val="00B74CAC"/>
    <w:rsid w:val="00BB542D"/>
    <w:rsid w:val="00BB6E03"/>
    <w:rsid w:val="00C06526"/>
    <w:rsid w:val="00C469D6"/>
    <w:rsid w:val="00C616FE"/>
    <w:rsid w:val="00C6597A"/>
    <w:rsid w:val="00CC48D0"/>
    <w:rsid w:val="00CE3051"/>
    <w:rsid w:val="00CE3AE4"/>
    <w:rsid w:val="00CF3903"/>
    <w:rsid w:val="00E96A59"/>
    <w:rsid w:val="00EC58ED"/>
    <w:rsid w:val="00F21D6E"/>
    <w:rsid w:val="00F36955"/>
    <w:rsid w:val="00F4189F"/>
    <w:rsid w:val="00F61F1E"/>
    <w:rsid w:val="00FA1A8C"/>
    <w:rsid w:val="00FC22EC"/>
    <w:rsid w:val="05D50FC1"/>
    <w:rsid w:val="09650913"/>
    <w:rsid w:val="11C4344F"/>
    <w:rsid w:val="1F0405AC"/>
    <w:rsid w:val="203C0614"/>
    <w:rsid w:val="22D84EC9"/>
    <w:rsid w:val="253653BD"/>
    <w:rsid w:val="26ED4919"/>
    <w:rsid w:val="27AA29D5"/>
    <w:rsid w:val="290D3A39"/>
    <w:rsid w:val="2A402B31"/>
    <w:rsid w:val="31226203"/>
    <w:rsid w:val="36CE1712"/>
    <w:rsid w:val="38881A2B"/>
    <w:rsid w:val="43E270E4"/>
    <w:rsid w:val="445E5157"/>
    <w:rsid w:val="4BD34D64"/>
    <w:rsid w:val="507A6284"/>
    <w:rsid w:val="54DA44E9"/>
    <w:rsid w:val="54F51065"/>
    <w:rsid w:val="554F34D5"/>
    <w:rsid w:val="61026AF3"/>
    <w:rsid w:val="66D0158D"/>
    <w:rsid w:val="6A1F6FAF"/>
    <w:rsid w:val="6D535020"/>
    <w:rsid w:val="71A76B73"/>
    <w:rsid w:val="73FC6612"/>
    <w:rsid w:val="77977907"/>
    <w:rsid w:val="7F4476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semiHidden/>
    <w:qFormat/>
    <w:uiPriority w:val="99"/>
    <w:pPr>
      <w:tabs>
        <w:tab w:val="center" w:pos="4153"/>
        <w:tab w:val="right" w:pos="8306"/>
      </w:tabs>
      <w:snapToGrid w:val="0"/>
      <w:jc w:val="left"/>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character" w:styleId="7">
    <w:name w:val="FollowedHyperlink"/>
    <w:basedOn w:val="6"/>
    <w:qFormat/>
    <w:uiPriority w:val="99"/>
    <w:rPr>
      <w:rFonts w:cs="Times New Roman"/>
      <w:color w:val="333333"/>
      <w:u w:val="none"/>
    </w:rPr>
  </w:style>
  <w:style w:type="character" w:styleId="8">
    <w:name w:val="Hyperlink"/>
    <w:basedOn w:val="6"/>
    <w:qFormat/>
    <w:uiPriority w:val="99"/>
    <w:rPr>
      <w:rFonts w:cs="Times New Roman"/>
      <w:color w:val="333333"/>
      <w:u w:val="none"/>
    </w:rPr>
  </w:style>
  <w:style w:type="character" w:customStyle="1" w:styleId="9">
    <w:name w:val="current"/>
    <w:basedOn w:val="6"/>
    <w:qFormat/>
    <w:uiPriority w:val="99"/>
    <w:rPr>
      <w:rFonts w:cs="Times New Roman"/>
      <w:b/>
      <w:color w:val="99210B"/>
    </w:rPr>
  </w:style>
  <w:style w:type="character" w:customStyle="1" w:styleId="10">
    <w:name w:val="disabled"/>
    <w:basedOn w:val="6"/>
    <w:qFormat/>
    <w:uiPriority w:val="99"/>
    <w:rPr>
      <w:rFonts w:cs="Times New Roman"/>
      <w:color w:val="99210B"/>
    </w:rPr>
  </w:style>
  <w:style w:type="character" w:customStyle="1" w:styleId="11">
    <w:name w:val="页眉 Char"/>
    <w:basedOn w:val="6"/>
    <w:link w:val="3"/>
    <w:semiHidden/>
    <w:qFormat/>
    <w:locked/>
    <w:uiPriority w:val="99"/>
    <w:rPr>
      <w:rFonts w:ascii="Calibri" w:hAnsi="Calibri" w:cs="Arial"/>
      <w:kern w:val="2"/>
      <w:sz w:val="18"/>
      <w:szCs w:val="18"/>
    </w:rPr>
  </w:style>
  <w:style w:type="character" w:customStyle="1" w:styleId="12">
    <w:name w:val="页脚 Char"/>
    <w:basedOn w:val="6"/>
    <w:link w:val="2"/>
    <w:semiHidden/>
    <w:qFormat/>
    <w:locked/>
    <w:uiPriority w:val="99"/>
    <w:rPr>
      <w:rFonts w:ascii="Calibri" w:hAnsi="Calibri" w:cs="Arial"/>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5</Pages>
  <Words>264</Words>
  <Characters>1508</Characters>
  <Lines>12</Lines>
  <Paragraphs>3</Paragraphs>
  <TotalTime>0</TotalTime>
  <ScaleCrop>false</ScaleCrop>
  <LinksUpToDate>false</LinksUpToDate>
  <CharactersWithSpaces>1769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2018-11-04T11:55:00Z</dcterms:created>
  <dc:creator>林丽</dc:creator>
  <cp:lastModifiedBy></cp:lastModifiedBy>
  <dcterms:modified xsi:type="dcterms:W3CDTF">2020-04-03T14:39:20Z</dcterms:modified>
  <dc:title>中央学前教育专项转移支付2018年度绩效自评</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