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2018年度新疆喀什地区泽普县旅游局部门决算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1、负责旅游业从业人员的培训、考核和管理；负责全县旅游市场、旅游整体促销、旅游服务质量的统筹、协调、监督、管理和稽查工作，代办全县旅游业务。</w:t>
      </w:r>
      <w:r>
        <w:rPr>
          <w:rFonts w:hint="eastAsia" w:ascii="仿宋_GB2312" w:eastAsia="仿宋_GB2312"/>
          <w:sz w:val="32"/>
          <w:szCs w:val="32"/>
        </w:rPr>
        <w:br w:type="textWrapping"/>
      </w:r>
      <w:r>
        <w:rPr>
          <w:rFonts w:hint="eastAsia" w:ascii="仿宋_GB2312" w:eastAsia="仿宋_GB2312"/>
          <w:sz w:val="32"/>
          <w:szCs w:val="32"/>
        </w:rPr>
        <w:t xml:space="preserve">    2、负责对全县旅游景区、景点、宾馆、饭店等实施行业管理和行业指导。</w:t>
      </w:r>
      <w:r>
        <w:rPr>
          <w:rFonts w:hint="eastAsia" w:ascii="仿宋_GB2312" w:eastAsia="仿宋_GB2312"/>
          <w:sz w:val="32"/>
          <w:szCs w:val="32"/>
        </w:rPr>
        <w:br w:type="textWrapping"/>
      </w:r>
      <w:r>
        <w:rPr>
          <w:rFonts w:hint="eastAsia" w:ascii="仿宋_GB2312" w:eastAsia="仿宋_GB2312"/>
          <w:sz w:val="32"/>
          <w:szCs w:val="32"/>
        </w:rPr>
        <w:t xml:space="preserve">    3、负责普查和整合全县旅游资源；审核报批旅游景区建设项目；协调和指导全县旅游商品的开发。</w:t>
      </w:r>
      <w:r>
        <w:rPr>
          <w:rFonts w:hint="eastAsia" w:ascii="仿宋_GB2312" w:eastAsia="仿宋_GB2312"/>
          <w:sz w:val="32"/>
          <w:szCs w:val="32"/>
        </w:rPr>
        <w:br w:type="textWrapping"/>
      </w:r>
      <w:r>
        <w:rPr>
          <w:rFonts w:hint="eastAsia" w:ascii="仿宋_GB2312" w:eastAsia="仿宋_GB2312"/>
          <w:sz w:val="32"/>
          <w:szCs w:val="32"/>
        </w:rPr>
        <w:t xml:space="preserve">    4、负责统一管理指导全县旅游宣传工作，编制印发各类旅游宣传资料。</w:t>
      </w:r>
      <w:r>
        <w:rPr>
          <w:rFonts w:hint="eastAsia" w:ascii="仿宋_GB2312" w:eastAsia="仿宋_GB2312"/>
          <w:sz w:val="32"/>
          <w:szCs w:val="32"/>
        </w:rPr>
        <w:br w:type="textWrapping"/>
      </w:r>
      <w:r>
        <w:rPr>
          <w:rFonts w:hint="eastAsia" w:ascii="仿宋_GB2312" w:eastAsia="仿宋_GB2312"/>
          <w:sz w:val="32"/>
          <w:szCs w:val="32"/>
        </w:rPr>
        <w:t xml:space="preserve">    5、承办县委、县人民政府和上级旅游部门交办的其他事项。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新疆喀什地区泽普县旅游局</w:t>
      </w:r>
      <w:r>
        <w:rPr>
          <w:rFonts w:hint="eastAsia" w:ascii="仿宋_GB2312" w:eastAsia="仿宋_GB2312"/>
          <w:sz w:val="32"/>
          <w:szCs w:val="32"/>
        </w:rPr>
        <w:t>部门决算包括：</w:t>
      </w:r>
      <w:r>
        <w:rPr>
          <w:rFonts w:ascii="仿宋_GB2312" w:eastAsia="仿宋_GB2312"/>
          <w:sz w:val="32"/>
          <w:szCs w:val="32"/>
        </w:rPr>
        <w:t>新疆喀什地区泽普县旅游局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新疆喀什地区泽普县旅游局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新疆喀什地区泽普县旅游局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1,086.31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，与上年相比，减少2,656.25万元，下降70.97%，减少的主要原因是：</w:t>
      </w:r>
      <w:r>
        <w:rPr>
          <w:rFonts w:hint="eastAsia" w:ascii="仿宋_GB2312" w:eastAsia="仿宋_GB2312"/>
          <w:color w:val="000000" w:themeColor="text1"/>
          <w:sz w:val="32"/>
          <w:szCs w:val="32"/>
        </w:rPr>
        <w:t>本年度财政追加项目支出减少、上海对口援疆旅游项目支出减少；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1,235.26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，与上年相比，减少3,712.72万元，下降75.04%，减少的主要原因是：</w:t>
      </w:r>
      <w:r>
        <w:rPr>
          <w:rFonts w:hint="eastAsia" w:ascii="仿宋_GB2312" w:eastAsia="仿宋_GB2312"/>
          <w:color w:val="000000" w:themeColor="text1"/>
          <w:sz w:val="32"/>
          <w:szCs w:val="32"/>
        </w:rPr>
        <w:t>本年度财政追加项目支出减少、上海对口援疆旅游项目支出减少；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21.31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，与上年相比，减少148.95万元，下降87.48%，减少的主要原因是：</w:t>
      </w:r>
      <w:r>
        <w:rPr>
          <w:rFonts w:ascii="仿宋_GB2312" w:eastAsia="仿宋_GB2312"/>
          <w:color w:val="000000" w:themeColor="text1"/>
          <w:sz w:val="32"/>
          <w:szCs w:val="32"/>
        </w:rPr>
        <w:t>因本年度一些基础设施建设完工快，提交审计出工程决算报告较快，我单位支付资金也相应加快，所以年末结转结余的项目资金数额变小。</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1,086.31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346.3</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万元，占</w:t>
      </w:r>
      <w:r>
        <w:rPr>
          <w:rFonts w:hint="eastAsia" w:ascii="仿宋_GB2312" w:eastAsia="仿宋_GB2312"/>
          <w:sz w:val="32"/>
          <w:szCs w:val="32"/>
        </w:rPr>
        <w:t>31.88%</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740.01</w:t>
      </w:r>
      <w:r>
        <w:rPr>
          <w:rFonts w:hint="eastAsia" w:ascii="仿宋_GB2312" w:eastAsia="仿宋_GB2312"/>
          <w:color w:val="000000" w:themeColor="text1"/>
          <w:sz w:val="32"/>
          <w:szCs w:val="32"/>
        </w:rPr>
        <w:t>万元，占</w:t>
      </w:r>
      <w:r>
        <w:rPr>
          <w:rFonts w:hint="eastAsia" w:ascii="仿宋_GB2312" w:eastAsia="仿宋_GB2312"/>
          <w:sz w:val="32"/>
          <w:szCs w:val="32"/>
        </w:rPr>
        <w:t>68.12%</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况：本年收入年初预算数69.32万元</w:t>
      </w:r>
      <w:r>
        <w:rPr>
          <w:rFonts w:hint="eastAsia" w:ascii="仿宋_GB2312" w:eastAsia="仿宋_GB2312"/>
          <w:sz w:val="32"/>
          <w:szCs w:val="32"/>
        </w:rPr>
        <w:t>，决算数1,086.31万元</w:t>
      </w:r>
      <w:r>
        <w:rPr>
          <w:rFonts w:ascii="仿宋_GB2312" w:eastAsia="仿宋_GB2312"/>
          <w:sz w:val="32"/>
          <w:szCs w:val="32"/>
        </w:rPr>
        <w:t>，预决算差异率1467.09%，差异主要原因是1、本年度财政追加本级项目支出，为5A景区提升打造项目农发行贷款还本息项目，2、年度收入涵盖其他收入为2018年上海对口旅游援疆项目。</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1,235.26</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37.98</w:t>
      </w:r>
      <w:r>
        <w:rPr>
          <w:rFonts w:hint="eastAsia" w:ascii="仿宋_GB2312" w:eastAsia="仿宋_GB2312"/>
          <w:color w:val="000000" w:themeColor="text1"/>
          <w:sz w:val="32"/>
          <w:szCs w:val="32"/>
        </w:rPr>
        <w:t>万元，占</w:t>
      </w:r>
      <w:r>
        <w:rPr>
          <w:rFonts w:hint="eastAsia" w:ascii="仿宋_GB2312" w:eastAsia="仿宋_GB2312"/>
          <w:sz w:val="32"/>
          <w:szCs w:val="32"/>
        </w:rPr>
        <w:t>3.07%</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1,197.28</w:t>
      </w:r>
      <w:r>
        <w:rPr>
          <w:rFonts w:hint="eastAsia" w:ascii="仿宋_GB2312" w:eastAsia="仿宋_GB2312"/>
          <w:color w:val="000000" w:themeColor="text1"/>
          <w:sz w:val="32"/>
          <w:szCs w:val="32"/>
        </w:rPr>
        <w:t>万元，占</w:t>
      </w:r>
      <w:r>
        <w:rPr>
          <w:rFonts w:hint="eastAsia" w:ascii="仿宋_GB2312" w:eastAsia="仿宋_GB2312"/>
          <w:sz w:val="32"/>
          <w:szCs w:val="32"/>
        </w:rPr>
        <w:t>96.93%</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与年初预算数相比情况：本年支出年初预算数69.32万元，</w:t>
      </w:r>
      <w:r>
        <w:rPr>
          <w:rFonts w:hint="eastAsia" w:ascii="仿宋_GB2312" w:eastAsia="仿宋_GB2312"/>
          <w:sz w:val="32"/>
          <w:szCs w:val="32"/>
        </w:rPr>
        <w:t>决算数1,235.26万元</w:t>
      </w:r>
      <w:r>
        <w:rPr>
          <w:rFonts w:ascii="仿宋_GB2312" w:eastAsia="仿宋_GB2312"/>
          <w:sz w:val="32"/>
          <w:szCs w:val="32"/>
        </w:rPr>
        <w:t>，预决算差异率1681.97%，差异主要原因是1、本年度财政追加本级项目支出，为5A景区提升打造项目农发行贷款还本息项目，2、年度收入涵盖其他收入为2018年上海对口旅游援疆项目。</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346.3</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，与上年相比，减少114.37万元，下降24.83%，减少的主要原因是：本年度财政一般公用经费及本级追加项目支出减少。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374.99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，与上年相比，减少1,317.3</w:t>
      </w:r>
      <w:r>
        <w:rPr>
          <w:rFonts w:hint="eastAsia" w:ascii="仿宋_GB2312" w:eastAsia="仿宋_GB2312"/>
          <w:sz w:val="32"/>
          <w:szCs w:val="32"/>
          <w:lang w:val="en-US" w:eastAsia="zh-CN"/>
        </w:rPr>
        <w:t>0</w:t>
      </w:r>
      <w:r>
        <w:rPr>
          <w:rFonts w:hint="eastAsia" w:ascii="仿宋_GB2312" w:eastAsia="仿宋_GB2312"/>
          <w:sz w:val="32"/>
          <w:szCs w:val="32"/>
        </w:rPr>
        <w:t>万元，下降77.84%，减少的主要原因是：</w:t>
      </w:r>
      <w:r>
        <w:rPr>
          <w:rFonts w:ascii="仿宋_GB2312" w:eastAsia="仿宋_GB2312"/>
          <w:sz w:val="32"/>
          <w:szCs w:val="32"/>
        </w:rPr>
        <w:t>本年度财政一般公用经费及本级追加项目支出减少。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37.24</w:t>
      </w:r>
      <w:r>
        <w:rPr>
          <w:rFonts w:hint="eastAsia" w:ascii="仿宋_GB2312" w:eastAsia="仿宋_GB2312"/>
          <w:color w:val="000000" w:themeColor="text1"/>
          <w:sz w:val="32"/>
          <w:szCs w:val="32"/>
        </w:rPr>
        <w:t>万元，项目支出</w:t>
      </w:r>
      <w:r>
        <w:rPr>
          <w:rFonts w:hint="eastAsia" w:ascii="仿宋_GB2312" w:eastAsia="仿宋_GB2312"/>
          <w:sz w:val="32"/>
          <w:szCs w:val="32"/>
        </w:rPr>
        <w:t>337.75</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21.31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28.69万元，下降57.38%，减少的主要原因是：本年度财政追加项目支出减少、上海对口援疆旅游项目支出减少；因本年度一些基础设施建设完工快，提交审计出工程决算报告较快，我单位支付资金也相应加快，所以年末结转结余的项目资金数额变小。</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69.32</w:t>
      </w:r>
      <w:r>
        <w:rPr>
          <w:rFonts w:hint="eastAsia" w:ascii="仿宋_GB2312" w:eastAsia="仿宋_GB2312"/>
          <w:color w:val="000000" w:themeColor="text1"/>
          <w:sz w:val="32"/>
          <w:szCs w:val="32"/>
        </w:rPr>
        <w:t>万元，决算数</w:t>
      </w:r>
      <w:r>
        <w:rPr>
          <w:rFonts w:hint="eastAsia" w:ascii="仿宋_GB2312" w:eastAsia="仿宋_GB2312"/>
          <w:sz w:val="32"/>
          <w:szCs w:val="32"/>
        </w:rPr>
        <w:t>346.3</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，预决算差异率399.57%，差异主要原因是决算数涵盖本年度财政本级预算追加项目支出。年初预算数包含人员经费支出不含本级财政追加的项目支出，因此形成了预决算差异。</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69.32</w:t>
      </w:r>
      <w:r>
        <w:rPr>
          <w:rFonts w:hint="eastAsia" w:ascii="仿宋_GB2312" w:eastAsia="仿宋_GB2312"/>
          <w:color w:val="000000" w:themeColor="text1"/>
          <w:sz w:val="32"/>
          <w:szCs w:val="32"/>
        </w:rPr>
        <w:t>万元，决算数</w:t>
      </w:r>
      <w:r>
        <w:rPr>
          <w:rFonts w:hint="eastAsia" w:ascii="仿宋_GB2312" w:eastAsia="仿宋_GB2312"/>
          <w:sz w:val="32"/>
          <w:szCs w:val="32"/>
        </w:rPr>
        <w:t>374.99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，预决算差异率440.95%，差异主要原因是决算数涵盖本年度财政本级预算追加项目支出。年初预算数包含人员经费支出不含本级财政追加的项目支出，因此形成了预决算差异。</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346.3</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，与上年相比，减少98.37万元，下降22.12%，减少的主要原因是：本年度财政一般公用经费及本级追加项目支出减少。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374.99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，与上年相比，减少1,301.3</w:t>
      </w:r>
      <w:r>
        <w:rPr>
          <w:rFonts w:hint="eastAsia" w:ascii="仿宋_GB2312" w:eastAsia="仿宋_GB2312"/>
          <w:sz w:val="32"/>
          <w:szCs w:val="32"/>
          <w:lang w:val="en-US" w:eastAsia="zh-CN"/>
        </w:rPr>
        <w:t>0</w:t>
      </w:r>
      <w:r>
        <w:rPr>
          <w:rFonts w:hint="eastAsia" w:ascii="仿宋_GB2312" w:eastAsia="仿宋_GB2312"/>
          <w:sz w:val="32"/>
          <w:szCs w:val="32"/>
        </w:rPr>
        <w:t>万元，下降77.63%，减少的主要原因是：本年度财政一般公用经费及本级追加项目支出减少。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住房保障支出2.58万元,商业服务业等支出368.43万元,社会保障和就业支出3.98万元。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工资福利支出33.63万元,商品和服务支出3.61万元,资本性支出337.75万元。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69.32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346.3</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，预决算差异率399.57%，差异主要原因是决算数涵盖本年度财政本级预算追加项目支出。年初预算数包含人员经费支出不含本级财政追加的项目支出，因此形成了预决算差异。</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69.32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374.99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，预决算差异率440.95%，差异主要原因是决算数涵盖本年度财政本级预算追加项目支出。年初预算数包含人员经费支出不含本级财政追加的项目支出，因此形成了预决算差异。</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，与上年相比，减少16万元，下降100%，减少的主要原因是：按照八项规定，缩减开支，减少支出。</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，与上年相比，减少16万元，下降100%，减少的主要原因是：2018年度没有政府性基金预算财政拨款支出。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，预决算差异率0%，差异主要原因是2018年度没有政府性基金预算财政拨款收入。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，预决算差异率0%，差异主要原因是2018年度没有政府性基金预算财政拨款支出。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21.31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。与上年相比，减少148.95万元，下降87.48%</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21.31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。与上年相比，减少28.69万元，下降57.38%。</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3.34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，与上年相比，增加1.3</w:t>
      </w:r>
      <w:r>
        <w:rPr>
          <w:rFonts w:hint="eastAsia" w:ascii="仿宋_GB2312" w:eastAsia="仿宋_GB2312"/>
          <w:sz w:val="32"/>
          <w:szCs w:val="32"/>
          <w:lang w:val="en-US" w:eastAsia="zh-CN"/>
        </w:rPr>
        <w:t>0</w:t>
      </w:r>
      <w:r>
        <w:rPr>
          <w:rFonts w:hint="eastAsia" w:ascii="仿宋_GB2312" w:eastAsia="仿宋_GB2312"/>
          <w:sz w:val="32"/>
          <w:szCs w:val="32"/>
        </w:rPr>
        <w:t>万元，增长63.73%，增加的主要原因是：旅游综合执法车辆，对县域内宾馆酒店及景区景点旅游执法检查次数增加，车辆外出次数增加，年度车辆运行经费相对增加。</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0%，与上年相比无变化，主要原因是：2018年度我单位没有因公出国（境）费用支出；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3.34</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100%，与上年相比，增加1.3</w:t>
      </w:r>
      <w:r>
        <w:rPr>
          <w:rFonts w:hint="eastAsia" w:ascii="仿宋_GB2312" w:eastAsia="仿宋_GB2312"/>
          <w:sz w:val="32"/>
          <w:szCs w:val="32"/>
          <w:lang w:val="en-US" w:eastAsia="zh-CN"/>
        </w:rPr>
        <w:t>0</w:t>
      </w:r>
      <w:r>
        <w:rPr>
          <w:rFonts w:hint="eastAsia" w:ascii="仿宋_GB2312" w:eastAsia="仿宋_GB2312"/>
          <w:sz w:val="32"/>
          <w:szCs w:val="32"/>
        </w:rPr>
        <w:t>万元，增长63.73%，增加的主要原因是：旅游综合执法车辆，对县域内宾馆酒店及景区景点旅游执法检查次数增加，车辆外出次数增加，年度车辆运行经费相对增加；</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0%，与上年相比无变化，主要原因是：2018年度我单位没有公务接待费用支出。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新疆喀什地区泽普县旅游局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2018年度我单位没有因公出国（境）费用支出。无因公出国（境）开支内容。</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3.34</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3.34</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由于单位领导车辆及旅游综合执法车辆全年的燃油费用和车辆维修维护费用支出。</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5</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2018年度我单位没有公务接待费用支出。无公务接待开支内容</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新疆喀什地区泽普县旅游局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3.34</w:t>
      </w:r>
      <w:r>
        <w:rPr>
          <w:rFonts w:hint="eastAsia" w:ascii="仿宋_GB2312" w:eastAsia="仿宋_GB2312"/>
          <w:color w:val="000000" w:themeColor="text1"/>
          <w:sz w:val="32"/>
          <w:szCs w:val="32"/>
        </w:rPr>
        <w:t>万元，决算数3.34万元</w:t>
      </w:r>
      <w:r>
        <w:rPr>
          <w:rFonts w:ascii="仿宋_GB2312" w:eastAsia="仿宋_GB2312"/>
          <w:color w:val="000000" w:themeColor="text1"/>
          <w:sz w:val="32"/>
          <w:szCs w:val="32"/>
        </w:rPr>
        <w:t>，预决算差异率0%，差异主要原因是2018年度一般公共预算“三公”经费支出按照年初预算多少，支付多少原则。因此预决算差异率为0。</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，预决算差异率0%，差异主要原因是2018年度我单位没有因公出国（境）费用支出；</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，预决算差异率0%，差异主要原因是2018年度我单位没有公务用车购置费用支出，因此预决算差异率0；</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3.34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3.34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，预决算差异率0%，差异主要原因是2018年度一般公共预算“三公”经费支出按照年初预算多少，支付多少原则。因此预决算差异率为0；</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2018年度我单位没有公务接待费用支出。因此预决算差异率0。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新疆喀什地区泽普县旅游局日常公用经费3.61万元，与上年相比，减少1.65万元，下降31.37%，减少的主要原因是：为认真贯彻中央八项规定，县财政降低压缩2018年度部门公用经费预算支出。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0.28</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0.28</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5</w:t>
      </w:r>
      <w:r>
        <w:rPr>
          <w:rFonts w:hint="eastAsia" w:ascii="仿宋_GB2312" w:eastAsia="仿宋_GB2312"/>
          <w:color w:val="000000" w:themeColor="text1"/>
          <w:sz w:val="32"/>
          <w:szCs w:val="32"/>
        </w:rPr>
        <w:t>辆，价值</w:t>
      </w:r>
      <w:r>
        <w:rPr>
          <w:rFonts w:hint="eastAsia" w:ascii="仿宋_GB2312" w:eastAsia="仿宋_GB2312"/>
          <w:sz w:val="32"/>
          <w:szCs w:val="32"/>
        </w:rPr>
        <w:t>146.15</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2</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3</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旅游执法车1辆、主要领导用车1辆、商务用车考斯特1辆县委在用；</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2018年度，本部门单位实行绩效管理的项目7个，涉及预算1</w:t>
      </w:r>
      <w:r>
        <w:rPr>
          <w:rFonts w:hint="eastAsia" w:ascii="仿宋_GB2312" w:eastAsia="仿宋_GB2312"/>
          <w:sz w:val="32"/>
          <w:szCs w:val="32"/>
          <w:lang w:val="en-US" w:eastAsia="zh-CN"/>
        </w:rPr>
        <w:t>,</w:t>
      </w:r>
      <w:r>
        <w:rPr>
          <w:rFonts w:ascii="仿宋_GB2312" w:eastAsia="仿宋_GB2312"/>
          <w:sz w:val="32"/>
          <w:szCs w:val="32"/>
        </w:rPr>
        <w:t>168.6万元，项目支出决算1</w:t>
      </w:r>
      <w:r>
        <w:rPr>
          <w:rFonts w:hint="eastAsia" w:ascii="仿宋_GB2312" w:eastAsia="仿宋_GB2312"/>
          <w:sz w:val="32"/>
          <w:szCs w:val="32"/>
          <w:lang w:val="en-US" w:eastAsia="zh-CN"/>
        </w:rPr>
        <w:t>,</w:t>
      </w:r>
      <w:r>
        <w:rPr>
          <w:rFonts w:ascii="仿宋_GB2312" w:eastAsia="仿宋_GB2312"/>
          <w:sz w:val="32"/>
          <w:szCs w:val="32"/>
        </w:rPr>
        <w:t>168.6</w:t>
      </w:r>
      <w:r>
        <w:rPr>
          <w:rFonts w:hint="eastAsia" w:ascii="仿宋_GB2312" w:eastAsia="仿宋_GB2312"/>
          <w:sz w:val="32"/>
          <w:szCs w:val="32"/>
          <w:lang w:val="en-US" w:eastAsia="zh-CN"/>
        </w:rPr>
        <w:t>0</w:t>
      </w:r>
      <w:r>
        <w:rPr>
          <w:rFonts w:ascii="仿宋_GB2312" w:eastAsia="仿宋_GB2312"/>
          <w:sz w:val="32"/>
          <w:szCs w:val="32"/>
        </w:rPr>
        <w:t>万元。</w:t>
      </w:r>
    </w:p>
    <w:p>
      <w:pPr>
        <w:spacing w:line="540" w:lineRule="exact"/>
        <w:ind w:left="-1" w:right="-1" w:firstLine="646"/>
        <w:jc w:val="left"/>
      </w:pPr>
      <w:r>
        <w:rPr>
          <w:rFonts w:ascii="仿宋_GB2312" w:hAnsi="仿宋_GB2312" w:eastAsia="仿宋_GB2312" w:cs="仿宋_GB2312"/>
          <w:b w:val="0"/>
          <w:color w:val="auto"/>
          <w:sz w:val="32"/>
          <w:u w:val="none"/>
        </w:rPr>
        <w:t>1、5A景区提升改造项目绩效自评综述：根据年初设定的绩效目标，该项目绩效自评得分为90分。项目全年预算数为14.01万元，执行数为14.01万元，完成预算的100%。主要产出和效果：进一步提升5A景区整体服务质量；二是给游客提供舒适的旅游环境。发现的问题及原因：督促协调旅游设施建设与非遗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2、景区景点打造及宣传推介上海援疆项目绩效自评综述：根据年初设定的绩效目标，该项目绩效自评得分为90分。项目全年预算数为119.52万元，执行数为119.52万元，完成预算的100%。主要产出和效果：进一步宣传泽普旅游；二是提高周边县市及内地游客知晓率。发现的问题及原因：宣传力度及宣传途径应提升。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3、5A景区提升改造（偿还农发行建设资金本息）项目绩效自评综述：根据年初设定的绩效目标，该项目绩效自评得分为90分。项目全年预算数为271.06万元，执行数为271.06万元，完成预算的100%。主要产出和效果：进一步提升5A景区整体服务质量；二是给游客提供舒适的旅游环境。发现的问题及原因：督促协调旅游规划时与非遗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4、上海科学院规划项目绩效自评综述：根据年初设定的绩效目标，该项目绩效自评得分为90分。项目全年预算数为24万元，执行数为24万元，完成预算的100%。主要产出和效果：通过对景区景点的整体规划达到进一步提升景区景点整体服务质量；二是给游客提供舒适的旅游环境。发现的问题及原因：督促协调旅游规划时与非遗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5、湿地公园提升援疆项目绩效自评综述：根据年初设定的绩效目标，该项目绩效自评得分为90分。项目全年预算数为</w:t>
      </w:r>
      <w:r>
        <w:rPr>
          <w:rFonts w:hint="eastAsia" w:ascii="仿宋_GB2312" w:hAnsi="仿宋_GB2312" w:eastAsia="仿宋_GB2312" w:cs="仿宋_GB2312"/>
          <w:b w:val="0"/>
          <w:color w:val="auto"/>
          <w:sz w:val="32"/>
          <w:u w:val="none"/>
          <w:lang w:val="en-US" w:eastAsia="zh-CN"/>
        </w:rPr>
        <w:t>440</w:t>
      </w:r>
      <w:r>
        <w:rPr>
          <w:rFonts w:ascii="仿宋_GB2312" w:hAnsi="仿宋_GB2312" w:eastAsia="仿宋_GB2312" w:cs="仿宋_GB2312"/>
          <w:b w:val="0"/>
          <w:color w:val="auto"/>
          <w:sz w:val="32"/>
          <w:u w:val="none"/>
        </w:rPr>
        <w:t>万元，执行数为</w:t>
      </w:r>
      <w:r>
        <w:rPr>
          <w:rFonts w:hint="eastAsia" w:ascii="仿宋_GB2312" w:hAnsi="仿宋_GB2312" w:eastAsia="仿宋_GB2312" w:cs="仿宋_GB2312"/>
          <w:b w:val="0"/>
          <w:color w:val="auto"/>
          <w:sz w:val="32"/>
          <w:u w:val="none"/>
          <w:lang w:val="en-US" w:eastAsia="zh-CN"/>
        </w:rPr>
        <w:t>440</w:t>
      </w:r>
      <w:r>
        <w:rPr>
          <w:rFonts w:ascii="仿宋_GB2312" w:hAnsi="仿宋_GB2312" w:eastAsia="仿宋_GB2312" w:cs="仿宋_GB2312"/>
          <w:b w:val="0"/>
          <w:color w:val="auto"/>
          <w:sz w:val="32"/>
          <w:u w:val="none"/>
        </w:rPr>
        <w:t>万元，完成预算的100%。主要产出和效果：进一步提升湿地公园景区整体服务质量；给游客提供舒适的旅游环境。发现的问题及原因</w:t>
      </w:r>
      <w:bookmarkStart w:id="92" w:name="_GoBack"/>
      <w:bookmarkEnd w:id="92"/>
      <w:r>
        <w:rPr>
          <w:rFonts w:ascii="仿宋_GB2312" w:hAnsi="仿宋_GB2312" w:eastAsia="仿宋_GB2312" w:cs="仿宋_GB2312"/>
          <w:b w:val="0"/>
          <w:color w:val="auto"/>
          <w:sz w:val="32"/>
          <w:u w:val="none"/>
        </w:rPr>
        <w:t>：督促协调旅游设施建设与非遗项目保护中出现的问题。下一步改进措施：预先做好前期计划为后续工作做好铺垫。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6、布依鲁克塔吉克风情小镇旅游示范项目绩效自评综述：根据年初设定的绩效目标，该项目绩效自评得分为90分。项目全年预算数为</w:t>
      </w:r>
      <w:r>
        <w:rPr>
          <w:rFonts w:hint="eastAsia" w:ascii="仿宋_GB2312" w:hAnsi="仿宋_GB2312" w:eastAsia="仿宋_GB2312" w:cs="仿宋_GB2312"/>
          <w:b w:val="0"/>
          <w:color w:val="auto"/>
          <w:sz w:val="32"/>
          <w:u w:val="none"/>
          <w:lang w:val="en-US" w:eastAsia="zh-CN"/>
        </w:rPr>
        <w:t>300</w:t>
      </w:r>
      <w:r>
        <w:rPr>
          <w:rFonts w:ascii="仿宋_GB2312" w:hAnsi="仿宋_GB2312" w:eastAsia="仿宋_GB2312" w:cs="仿宋_GB2312"/>
          <w:b w:val="0"/>
          <w:color w:val="auto"/>
          <w:sz w:val="32"/>
          <w:u w:val="none"/>
        </w:rPr>
        <w:t>万元，执行数为</w:t>
      </w:r>
      <w:r>
        <w:rPr>
          <w:rFonts w:hint="eastAsia" w:ascii="仿宋_GB2312" w:hAnsi="仿宋_GB2312" w:eastAsia="仿宋_GB2312" w:cs="仿宋_GB2312"/>
          <w:b w:val="0"/>
          <w:color w:val="auto"/>
          <w:sz w:val="32"/>
          <w:u w:val="none"/>
          <w:lang w:val="en-US" w:eastAsia="zh-CN"/>
        </w:rPr>
        <w:t>300</w:t>
      </w:r>
      <w:r>
        <w:rPr>
          <w:rFonts w:ascii="仿宋_GB2312" w:hAnsi="仿宋_GB2312" w:eastAsia="仿宋_GB2312" w:cs="仿宋_GB2312"/>
          <w:b w:val="0"/>
          <w:color w:val="auto"/>
          <w:sz w:val="32"/>
          <w:u w:val="none"/>
        </w:rPr>
        <w:t>万元，完成预算的100%。主要产出和效果：进一步提升布依鲁克塔吉克风情小镇景区整体服务质量；给游客提供舒适的旅游环境。发现的问题及原因：督促协调旅游设施建设与非遗项目保护中出现的问题。下一步改进措施：预先做好前期计划为后续工作做好铺垫。</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7、</w:t>
      </w:r>
      <w:r>
        <w:rPr>
          <w:rFonts w:hint="eastAsia" w:ascii="仿宋_GB2312" w:hAnsi="仿宋_GB2312" w:eastAsia="仿宋_GB2312" w:cs="仿宋_GB2312"/>
          <w:b w:val="0"/>
          <w:color w:val="auto"/>
          <w:sz w:val="32"/>
          <w:u w:val="none"/>
        </w:rPr>
        <w:t>旅游扶贫示范县乡村旅游扶持</w:t>
      </w:r>
      <w:r>
        <w:rPr>
          <w:rFonts w:ascii="仿宋_GB2312" w:hAnsi="仿宋_GB2312" w:eastAsia="仿宋_GB2312" w:cs="仿宋_GB2312"/>
          <w:b w:val="0"/>
          <w:color w:val="auto"/>
          <w:sz w:val="32"/>
          <w:u w:val="none"/>
        </w:rPr>
        <w:t>项目绩效自评综述：根据年初设定的绩效目标，该项目绩效自评得分为</w:t>
      </w:r>
      <w:r>
        <w:rPr>
          <w:rFonts w:hint="eastAsia" w:ascii="仿宋_GB2312" w:hAnsi="仿宋_GB2312" w:eastAsia="仿宋_GB2312" w:cs="仿宋_GB2312"/>
          <w:b w:val="0"/>
          <w:color w:val="auto"/>
          <w:sz w:val="32"/>
          <w:u w:val="none"/>
          <w:lang w:val="en-US" w:eastAsia="zh-CN"/>
        </w:rPr>
        <w:t>85</w:t>
      </w:r>
      <w:r>
        <w:rPr>
          <w:rFonts w:ascii="仿宋_GB2312" w:hAnsi="仿宋_GB2312" w:eastAsia="仿宋_GB2312" w:cs="仿宋_GB2312"/>
          <w:b w:val="0"/>
          <w:color w:val="auto"/>
          <w:sz w:val="32"/>
          <w:u w:val="none"/>
        </w:rPr>
        <w:t>分。项目全年预算数为</w:t>
      </w:r>
      <w:r>
        <w:rPr>
          <w:rFonts w:hint="eastAsia" w:ascii="仿宋_GB2312" w:hAnsi="仿宋_GB2312" w:eastAsia="仿宋_GB2312" w:cs="仿宋_GB2312"/>
          <w:b w:val="0"/>
          <w:color w:val="auto"/>
          <w:sz w:val="32"/>
          <w:u w:val="none"/>
          <w:lang w:val="en-US" w:eastAsia="zh-CN"/>
        </w:rPr>
        <w:t>50</w:t>
      </w:r>
      <w:r>
        <w:rPr>
          <w:rFonts w:ascii="仿宋_GB2312" w:hAnsi="仿宋_GB2312" w:eastAsia="仿宋_GB2312" w:cs="仿宋_GB2312"/>
          <w:b w:val="0"/>
          <w:color w:val="auto"/>
          <w:sz w:val="32"/>
          <w:u w:val="none"/>
        </w:rPr>
        <w:t>万元，执行数为</w:t>
      </w:r>
      <w:r>
        <w:rPr>
          <w:rFonts w:hint="eastAsia" w:ascii="仿宋_GB2312" w:hAnsi="仿宋_GB2312" w:eastAsia="仿宋_GB2312" w:cs="仿宋_GB2312"/>
          <w:b w:val="0"/>
          <w:color w:val="auto"/>
          <w:sz w:val="32"/>
          <w:u w:val="none"/>
          <w:lang w:val="en-US" w:eastAsia="zh-CN"/>
        </w:rPr>
        <w:t>28.69</w:t>
      </w:r>
      <w:r>
        <w:rPr>
          <w:rFonts w:ascii="仿宋_GB2312" w:hAnsi="仿宋_GB2312" w:eastAsia="仿宋_GB2312" w:cs="仿宋_GB2312"/>
          <w:b w:val="0"/>
          <w:color w:val="auto"/>
          <w:sz w:val="32"/>
          <w:u w:val="none"/>
        </w:rPr>
        <w:t>万元，完成预算的</w:t>
      </w:r>
      <w:r>
        <w:rPr>
          <w:rFonts w:hint="eastAsia" w:ascii="仿宋_GB2312" w:hAnsi="仿宋_GB2312" w:eastAsia="仿宋_GB2312" w:cs="仿宋_GB2312"/>
          <w:b w:val="0"/>
          <w:color w:val="auto"/>
          <w:sz w:val="32"/>
          <w:u w:val="none"/>
          <w:lang w:val="en-US" w:eastAsia="zh-CN"/>
        </w:rPr>
        <w:t>74</w:t>
      </w:r>
      <w:r>
        <w:rPr>
          <w:rFonts w:ascii="仿宋_GB2312" w:hAnsi="仿宋_GB2312" w:eastAsia="仿宋_GB2312" w:cs="仿宋_GB2312"/>
          <w:b w:val="0"/>
          <w:color w:val="auto"/>
          <w:sz w:val="32"/>
          <w:u w:val="none"/>
        </w:rPr>
        <w:t>%。主要产出和效果：</w:t>
      </w:r>
      <w:r>
        <w:rPr>
          <w:rFonts w:hint="eastAsia" w:ascii="仿宋_GB2312" w:hAnsi="仿宋_GB2312" w:eastAsia="仿宋_GB2312" w:cs="仿宋_GB2312"/>
          <w:b w:val="0"/>
          <w:color w:val="auto"/>
          <w:sz w:val="32"/>
          <w:u w:val="none"/>
        </w:rPr>
        <w:t>改善景区面貌、消除不安全隐患。</w:t>
      </w:r>
      <w:r>
        <w:rPr>
          <w:rFonts w:ascii="仿宋_GB2312" w:hAnsi="仿宋_GB2312" w:eastAsia="仿宋_GB2312" w:cs="仿宋_GB2312"/>
          <w:b w:val="0"/>
          <w:color w:val="auto"/>
          <w:sz w:val="32"/>
          <w:u w:val="none"/>
        </w:rPr>
        <w:t>发现的问题及原因：</w:t>
      </w:r>
      <w:r>
        <w:rPr>
          <w:rFonts w:hint="eastAsia" w:ascii="仿宋_GB2312" w:hAnsi="仿宋_GB2312" w:eastAsia="仿宋_GB2312" w:cs="仿宋_GB2312"/>
          <w:b w:val="0"/>
          <w:color w:val="auto"/>
          <w:sz w:val="32"/>
          <w:u w:val="none"/>
          <w:lang w:eastAsia="zh-CN"/>
        </w:rPr>
        <w:t>无</w:t>
      </w:r>
      <w:r>
        <w:rPr>
          <w:rFonts w:ascii="仿宋_GB2312" w:hAnsi="仿宋_GB2312" w:eastAsia="仿宋_GB2312" w:cs="仿宋_GB2312"/>
          <w:b w:val="0"/>
          <w:color w:val="auto"/>
          <w:sz w:val="32"/>
          <w:u w:val="none"/>
        </w:rPr>
        <w:t>。下一步改进措施：</w:t>
      </w:r>
      <w:r>
        <w:rPr>
          <w:rFonts w:hint="eastAsia" w:ascii="仿宋_GB2312" w:hAnsi="仿宋_GB2312" w:eastAsia="仿宋_GB2312" w:cs="仿宋_GB2312"/>
          <w:b w:val="0"/>
          <w:color w:val="auto"/>
          <w:sz w:val="32"/>
          <w:u w:val="none"/>
          <w:lang w:eastAsia="zh-CN"/>
        </w:rPr>
        <w:t>无。</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216（类）05（款）99（项）指：其他旅游业管理与服务支出。216（类）05（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7D40CA"/>
    <w:rsid w:val="10845F1B"/>
    <w:rsid w:val="11463A00"/>
    <w:rsid w:val="11600918"/>
    <w:rsid w:val="11B0398F"/>
    <w:rsid w:val="13B960C5"/>
    <w:rsid w:val="152777F4"/>
    <w:rsid w:val="15C674B6"/>
    <w:rsid w:val="18D54A0D"/>
    <w:rsid w:val="1A4106A0"/>
    <w:rsid w:val="1A4F5437"/>
    <w:rsid w:val="1AB77CD0"/>
    <w:rsid w:val="1BF75C94"/>
    <w:rsid w:val="1E807156"/>
    <w:rsid w:val="1EA657F6"/>
    <w:rsid w:val="1F097CB6"/>
    <w:rsid w:val="2166156B"/>
    <w:rsid w:val="21B02D83"/>
    <w:rsid w:val="22A236F5"/>
    <w:rsid w:val="23995975"/>
    <w:rsid w:val="2432220E"/>
    <w:rsid w:val="248303BA"/>
    <w:rsid w:val="24837E47"/>
    <w:rsid w:val="252E01AA"/>
    <w:rsid w:val="25B56113"/>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3812DE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154481"/>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67F5936"/>
    <w:rsid w:val="57FC5774"/>
    <w:rsid w:val="59B332C9"/>
    <w:rsid w:val="5A44758A"/>
    <w:rsid w:val="5BEC4BB3"/>
    <w:rsid w:val="5C070B55"/>
    <w:rsid w:val="5CB96DCE"/>
    <w:rsid w:val="5CE61580"/>
    <w:rsid w:val="5CF220FD"/>
    <w:rsid w:val="5D175666"/>
    <w:rsid w:val="5D556A3C"/>
    <w:rsid w:val="5D7B25C9"/>
    <w:rsid w:val="5ECB44B4"/>
    <w:rsid w:val="5EE2043C"/>
    <w:rsid w:val="602D2E37"/>
    <w:rsid w:val="61460FBE"/>
    <w:rsid w:val="62775810"/>
    <w:rsid w:val="62D83744"/>
    <w:rsid w:val="630F4048"/>
    <w:rsid w:val="635A202C"/>
    <w:rsid w:val="63AA02E5"/>
    <w:rsid w:val="64700DE9"/>
    <w:rsid w:val="65C613BD"/>
    <w:rsid w:val="65FD118C"/>
    <w:rsid w:val="682C3D89"/>
    <w:rsid w:val="68611305"/>
    <w:rsid w:val="6A162DE0"/>
    <w:rsid w:val="6A331428"/>
    <w:rsid w:val="6B0F5DEF"/>
    <w:rsid w:val="6B2E5CB6"/>
    <w:rsid w:val="6B3D4886"/>
    <w:rsid w:val="6DF8675E"/>
    <w:rsid w:val="6EA80098"/>
    <w:rsid w:val="6F8D70FF"/>
    <w:rsid w:val="6FFE5011"/>
    <w:rsid w:val="711E0A12"/>
    <w:rsid w:val="7178734D"/>
    <w:rsid w:val="71791096"/>
    <w:rsid w:val="717B0C34"/>
    <w:rsid w:val="71FB78FD"/>
    <w:rsid w:val="7275064A"/>
    <w:rsid w:val="733F750B"/>
    <w:rsid w:val="735702E2"/>
    <w:rsid w:val="73BB2A58"/>
    <w:rsid w:val="765F635A"/>
    <w:rsid w:val="76B73454"/>
    <w:rsid w:val="76D254BD"/>
    <w:rsid w:val="772B3745"/>
    <w:rsid w:val="77727ACD"/>
    <w:rsid w:val="78071142"/>
    <w:rsid w:val="78755386"/>
    <w:rsid w:val="79296B37"/>
    <w:rsid w:val="7A4C4C40"/>
    <w:rsid w:val="7AA0518E"/>
    <w:rsid w:val="7B041636"/>
    <w:rsid w:val="7C057792"/>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297</TotalTime>
  <ScaleCrop>false</ScaleCrop>
  <LinksUpToDate>false</LinksUpToDate>
  <CharactersWithSpaces>7696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2020-04-05T10:00:48Z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