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项目名称：自治区无线覆盖工程运行维护费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自治区无线覆盖工程运行维护费下拨资金46.65万元，2018年实际执行46.65万元。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该项资金为财政拨款资金，资金总额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46.65万元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46.65万元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主要用于数字电影2套、广播2套节目无线覆盖的正常运行，提供清晰可靠的广播电视节目，为全县观众提供优质服务。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主要用于数字电影2套、广播2套节目无线覆盖的正常运行。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提供清晰可靠的广播电视节目，为全县观众提供优质服务。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提供清晰可靠的广播电视节目，为全县观众提供优质服务。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主主要用于数字电影2套、广播2套节目无线覆盖的正常运行支出。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该主要用于主要用于数字电影2套、广播2套节目无线覆盖的正常运行，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pStyle w:val="2"/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Style w:val="17"/>
                <w:rFonts w:hint="eastAsia" w:ascii="仿宋" w:hAnsi="仿宋" w:eastAsia="仿宋" w:cs="Times New Roman"/>
                <w:b w:val="0"/>
                <w:spacing w:val="-4"/>
                <w:sz w:val="32"/>
                <w:szCs w:val="32"/>
                <w:lang w:val="en-US" w:eastAsia="zh-CN"/>
              </w:rPr>
              <w:t>自治区无线覆盖工程运行维护费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46.65万元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46.65万元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46.65万元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46.65万元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数字电视2套、广播2套节目无线覆盖的正常运行覆盖率97%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数字电视2套、广播2套节目无线覆盖的正常运行覆盖率97%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数字电视2套、广播2套节目无线覆盖的正常运行覆盖率97%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数字电视2套、广播2套节目无线覆盖的正常运行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数字电视2套、广播2套节目无线覆盖的正常运行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确保数字电影2套、广播2套节目无线覆盖的正常运行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46.65万元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46.65万元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无线广播电视节目的传输、覆盖和安全播出参数测算准确度99%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无线广播电视节目的传输、覆盖和安全播出参数测算准确度99%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无线广播电视节目的传输、覆盖和安全播出参数测算准确度99%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数字电影2套、广播2套节目无线覆盖的正常运行，电视广播节目正常播出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26111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E821D1D"/>
    <w:rsid w:val="11E0112F"/>
    <w:rsid w:val="1B0C45C6"/>
    <w:rsid w:val="1B5F60C2"/>
    <w:rsid w:val="226F7EA3"/>
    <w:rsid w:val="3A16722D"/>
    <w:rsid w:val="45392DBC"/>
    <w:rsid w:val="494C70CC"/>
    <w:rsid w:val="4D0852E6"/>
    <w:rsid w:val="4F841CE2"/>
    <w:rsid w:val="519422D0"/>
    <w:rsid w:val="66631B80"/>
    <w:rsid w:val="68B07C9C"/>
    <w:rsid w:val="76586912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2019-01-26T11:32:53Z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