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2018年度新疆喀什地区泽普县文化体育广播影视局汇总部门决算公开说明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党和国家关于文化艺术、体育工作、广播电影电视宣传和创作、新闻出版、著作权、旅游工作的方针政策和法律法规；管理和指导全县文化艺术、体育、广播电影电视、新闻出版（版权）工作。（2）、拟定全县文化、体育、广播电影电视、新闻出版、旅游的中长期发展规划、年度计划、政策措施并组织实施；负责文化体育、广播电影电视体制改革、出版业和印刷业的结构调整；监督管理文化体育、广播电影电视节目、卫星电视节目收录和通过广播电视、信息网络向公众传播的视听节目；负责旅游行业监管；审核、申报、办理全县文化体育、广播电影电视、新闻出版版权、建立和撤销。（3）、管理全县文化艺术、新闻出版业，指导艺术创作与生产，推动各门类艺术的发展；归口管理全县重大文化活动；管理全县广播电影电视科技工作，监督检查有关技术政策和标准在本系统的实施；指导广播电视系统适用高新技术的推广应用。（4）、指导和管理全县文化遗产保护工作。负责国家、省、市级重点文物保护单位申报及维修立项申报工作，管理监督文物维修及其资金使用；会同有关部门制定民族文化生态保护区、民族村寨建设和保护规划；按管理权限审核、管理文物对外交流活动；承办国家、自治区、地区级非物质文化遗产代表项目、项目代表性传承人申报工作；组织开展非物质文化遗产保护工作，建立非物质文化遗产保护体系，推动优秀民族文化的挖掘、保护和传承；负责博物馆、纪念馆、陈列馆的规划建设，陈列展览和对外开发工作；归口管理文物市场，协调有关部门打击、查处文物违法犯罪活动。（5）、按照国家的统筹规划、宏观政策和法律法规，对全县广播电视专用网进行具体规划和管理；落实广播电视专用网的具体规章和技术标准，保证广播电视节目的安全播出。（6）、指导文化市场综合执法工作。指导、监督全县文化市场、广播电影电视市场、出版物市场的稽查工作和“扫黄打非”工作。（7）、管理全县文化、体育、广播电影电视系统的对外交流与合作。（8）、指导各类社会文化事业的建设，协调、指导全县民族民间文化、艺术、群众文化事业的发展。（9）、承办县委、县人民政府和上级文化、体育、广播电视、新闻出版部门交办的其他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eastAsia="仿宋_GB2312"/>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新疆喀什地区泽普县文化体育广播影视局汇总</w:t>
      </w:r>
      <w:r>
        <w:rPr>
          <w:rFonts w:hint="eastAsia" w:ascii="仿宋_GB2312" w:eastAsia="仿宋_GB2312"/>
          <w:sz w:val="32"/>
          <w:szCs w:val="32"/>
        </w:rPr>
        <w:t>部门决算包括：</w:t>
      </w:r>
      <w:r>
        <w:rPr>
          <w:rFonts w:ascii="仿宋_GB2312" w:eastAsia="仿宋_GB2312"/>
          <w:sz w:val="32"/>
          <w:szCs w:val="32"/>
        </w:rPr>
        <w:t>新疆喀什地区泽普县文化体育广播影视局</w:t>
      </w:r>
      <w:r>
        <w:rPr>
          <w:rFonts w:hint="eastAsia" w:ascii="仿宋_GB2312" w:eastAsia="仿宋_GB2312"/>
          <w:sz w:val="32"/>
          <w:szCs w:val="32"/>
          <w:lang w:eastAsia="zh-CN"/>
        </w:rPr>
        <w:t>、泽普县文工团、</w:t>
      </w:r>
      <w:r>
        <w:rPr>
          <w:rFonts w:ascii="仿宋_GB2312" w:eastAsia="仿宋_GB2312"/>
          <w:sz w:val="32"/>
          <w:szCs w:val="32"/>
        </w:rPr>
        <w:t>泽普县广播电视台</w:t>
      </w:r>
      <w:r>
        <w:rPr>
          <w:rFonts w:hint="eastAsia" w:ascii="仿宋_GB2312" w:eastAsia="仿宋_GB2312"/>
          <w:sz w:val="32"/>
          <w:szCs w:val="32"/>
          <w:lang w:eastAsia="zh-CN"/>
        </w:rPr>
        <w:t>、</w:t>
      </w:r>
      <w:r>
        <w:rPr>
          <w:rFonts w:ascii="仿宋_GB2312" w:eastAsia="仿宋_GB2312"/>
          <w:sz w:val="32"/>
          <w:szCs w:val="32"/>
        </w:rPr>
        <w:t>泽普县文化馆</w:t>
      </w:r>
      <w:r>
        <w:rPr>
          <w:rFonts w:hint="eastAsia" w:ascii="仿宋_GB2312" w:eastAsia="仿宋_GB2312"/>
          <w:sz w:val="32"/>
          <w:szCs w:val="32"/>
        </w:rPr>
        <w:t>。</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新疆喀什地区泽普县文化体育广播影视局汇总</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left="638" w:leftChars="304" w:firstLine="0" w:firstLineChars="0"/>
              <w:jc w:val="left"/>
              <w:textAlignment w:val="auto"/>
            </w:pPr>
            <w:r>
              <w:rPr>
                <w:rFonts w:ascii="Times New Roman" w:hAnsi="Times New Roman" w:eastAsia="Times New Roman" w:cs="Times New Roman"/>
                <w:b w:val="0"/>
                <w:i w:val="0"/>
                <w:strike w:val="0"/>
                <w:color w:val="auto"/>
                <w:position w:val="-1"/>
                <w:sz w:val="32"/>
                <w:u w:val="none"/>
              </w:rPr>
              <w:t>新疆喀什地区泽</w:t>
            </w:r>
            <w:r>
              <w:rPr>
                <w:rFonts w:hint="eastAsia" w:cs="Times New Roman"/>
                <w:b w:val="0"/>
                <w:i w:val="0"/>
                <w:strike w:val="0"/>
                <w:color w:val="auto"/>
                <w:position w:val="-1"/>
                <w:sz w:val="32"/>
                <w:u w:val="none"/>
                <w:lang w:eastAsia="zh-CN"/>
              </w:rPr>
              <w:t>普</w:t>
            </w:r>
            <w:r>
              <w:rPr>
                <w:rFonts w:ascii="Times New Roman" w:hAnsi="Times New Roman" w:eastAsia="Times New Roman" w:cs="Times New Roman"/>
                <w:b w:val="0"/>
                <w:i w:val="0"/>
                <w:strike w:val="0"/>
                <w:color w:val="auto"/>
                <w:position w:val="-1"/>
                <w:sz w:val="32"/>
                <w:u w:val="none"/>
              </w:rPr>
              <w:t>县文化体育广播影视局</w:t>
            </w:r>
          </w:p>
        </w:tc>
        <w:tc>
          <w:tcPr>
            <w:tcW w:w="2538"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2</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泽普县文工团</w:t>
            </w:r>
          </w:p>
        </w:tc>
        <w:tc>
          <w:tcPr>
            <w:tcW w:w="2538"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3</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泽普县广播电视台</w:t>
            </w:r>
          </w:p>
        </w:tc>
        <w:tc>
          <w:tcPr>
            <w:tcW w:w="2538"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rPr>
                <w:rFonts w:hint="eastAsia" w:ascii="Times New Roman" w:hAnsi="Times New Roman" w:eastAsia="宋体" w:cs="Times New Roman"/>
                <w:b w:val="0"/>
                <w:i w:val="0"/>
                <w:strike w:val="0"/>
                <w:color w:val="auto"/>
                <w:position w:val="-1"/>
                <w:sz w:val="32"/>
                <w:u w:val="none"/>
                <w:lang w:val="en-US" w:eastAsia="zh-CN"/>
              </w:rPr>
            </w:pPr>
            <w:r>
              <w:rPr>
                <w:rFonts w:hint="eastAsia" w:cs="Times New Roman"/>
                <w:b w:val="0"/>
                <w:i w:val="0"/>
                <w:strike w:val="0"/>
                <w:color w:val="auto"/>
                <w:position w:val="-1"/>
                <w:sz w:val="32"/>
                <w:u w:val="none"/>
                <w:lang w:val="en-US" w:eastAsia="zh-CN"/>
              </w:rPr>
              <w:t>4</w:t>
            </w:r>
          </w:p>
        </w:tc>
        <w:tc>
          <w:tcPr>
            <w:tcW w:w="3870" w:type="dxa"/>
          </w:tcPr>
          <w:p>
            <w:pPr>
              <w:pageBreakBefore w:val="0"/>
              <w:spacing w:line="500" w:lineRule="exact"/>
              <w:ind w:firstLine="640" w:firstLineChars="200"/>
              <w:jc w:val="left"/>
              <w:textAlignment w:val="auto"/>
              <w:rPr>
                <w:rFonts w:ascii="Times New Roman" w:hAnsi="Times New Roman" w:eastAsia="Times New Roman" w:cs="Times New Roman"/>
                <w:b w:val="0"/>
                <w:i w:val="0"/>
                <w:strike w:val="0"/>
                <w:color w:val="auto"/>
                <w:position w:val="-1"/>
                <w:sz w:val="32"/>
                <w:u w:val="none"/>
              </w:rPr>
            </w:pPr>
            <w:r>
              <w:rPr>
                <w:rFonts w:ascii="Times New Roman" w:hAnsi="Times New Roman" w:eastAsia="Times New Roman" w:cs="Times New Roman"/>
                <w:b w:val="0"/>
                <w:i w:val="0"/>
                <w:strike w:val="0"/>
                <w:color w:val="auto"/>
                <w:position w:val="-1"/>
                <w:sz w:val="32"/>
                <w:u w:val="none"/>
              </w:rPr>
              <w:t>泽普县文化馆</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2,615.54</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，与上年相比，减少115.58万元，下降4.23%，减少的主要原因是：</w:t>
      </w:r>
      <w:r>
        <w:rPr>
          <w:rFonts w:hint="eastAsia" w:ascii="仿宋_GB2312" w:eastAsia="仿宋_GB2312"/>
          <w:color w:val="000000" w:themeColor="text1"/>
          <w:sz w:val="32"/>
          <w:szCs w:val="32"/>
        </w:rPr>
        <w:t>专项资金收入减少；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2,889.08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，与上年相比，增加431.49万元，增长17.56%，增加的主要原因是：</w:t>
      </w:r>
      <w:r>
        <w:rPr>
          <w:rFonts w:hint="eastAsia" w:ascii="仿宋_GB2312" w:eastAsia="仿宋_GB2312"/>
          <w:color w:val="000000" w:themeColor="text1"/>
          <w:sz w:val="32"/>
          <w:szCs w:val="32"/>
        </w:rPr>
        <w:t>专项资金支出增加；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，与上年相比，减少273.54万元，下降100%，减少的主要原因是：</w:t>
      </w:r>
      <w:r>
        <w:rPr>
          <w:rFonts w:ascii="仿宋_GB2312" w:eastAsia="仿宋_GB2312"/>
          <w:color w:val="000000" w:themeColor="text1"/>
          <w:sz w:val="32"/>
          <w:szCs w:val="32"/>
        </w:rPr>
        <w:t>结余资金全部支付完毕。</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2,615.54</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2,232.59</w:t>
      </w:r>
      <w:r>
        <w:rPr>
          <w:rFonts w:hint="eastAsia" w:ascii="仿宋_GB2312" w:eastAsia="仿宋_GB2312"/>
          <w:color w:val="000000" w:themeColor="text1"/>
          <w:sz w:val="32"/>
          <w:szCs w:val="32"/>
        </w:rPr>
        <w:t>万元，占</w:t>
      </w:r>
      <w:r>
        <w:rPr>
          <w:rFonts w:hint="eastAsia" w:ascii="仿宋_GB2312" w:eastAsia="仿宋_GB2312"/>
          <w:sz w:val="32"/>
          <w:szCs w:val="32"/>
        </w:rPr>
        <w:t>85.36%</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382.95</w:t>
      </w:r>
      <w:r>
        <w:rPr>
          <w:rFonts w:hint="eastAsia" w:ascii="仿宋_GB2312" w:eastAsia="仿宋_GB2312"/>
          <w:color w:val="000000" w:themeColor="text1"/>
          <w:sz w:val="32"/>
          <w:szCs w:val="32"/>
        </w:rPr>
        <w:t>万元，占</w:t>
      </w:r>
      <w:r>
        <w:rPr>
          <w:rFonts w:hint="eastAsia" w:ascii="仿宋_GB2312" w:eastAsia="仿宋_GB2312"/>
          <w:sz w:val="32"/>
          <w:szCs w:val="32"/>
        </w:rPr>
        <w:t>14.64%</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况：本年收入年初预算数1,851.95万元</w:t>
      </w:r>
      <w:r>
        <w:rPr>
          <w:rFonts w:hint="eastAsia" w:ascii="仿宋_GB2312" w:eastAsia="仿宋_GB2312"/>
          <w:sz w:val="32"/>
          <w:szCs w:val="32"/>
        </w:rPr>
        <w:t>，决算数2,615.54万元</w:t>
      </w:r>
      <w:r>
        <w:rPr>
          <w:rFonts w:ascii="仿宋_GB2312" w:eastAsia="仿宋_GB2312"/>
          <w:sz w:val="32"/>
          <w:szCs w:val="32"/>
        </w:rPr>
        <w:t>，预决算差异率41.23%，差异主要原因是</w:t>
      </w:r>
      <w:r>
        <w:rPr>
          <w:rFonts w:hint="eastAsia" w:ascii="仿宋_GB2312" w:eastAsia="仿宋_GB2312"/>
          <w:sz w:val="32"/>
          <w:szCs w:val="32"/>
          <w:lang w:eastAsia="zh-CN"/>
        </w:rPr>
        <w:t>较年初预算数</w:t>
      </w:r>
      <w:r>
        <w:rPr>
          <w:rFonts w:ascii="仿宋_GB2312" w:eastAsia="仿宋_GB2312"/>
          <w:sz w:val="32"/>
          <w:szCs w:val="32"/>
        </w:rPr>
        <w:t>专项资金收入增加。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2,889.08</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1,606.48</w:t>
      </w:r>
      <w:r>
        <w:rPr>
          <w:rFonts w:hint="eastAsia" w:ascii="仿宋_GB2312" w:eastAsia="仿宋_GB2312"/>
          <w:color w:val="000000" w:themeColor="text1"/>
          <w:sz w:val="32"/>
          <w:szCs w:val="32"/>
        </w:rPr>
        <w:t>万元，占</w:t>
      </w:r>
      <w:r>
        <w:rPr>
          <w:rFonts w:hint="eastAsia" w:ascii="仿宋_GB2312" w:eastAsia="仿宋_GB2312"/>
          <w:sz w:val="32"/>
          <w:szCs w:val="32"/>
        </w:rPr>
        <w:t>55.61%</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1,282.59</w:t>
      </w:r>
      <w:r>
        <w:rPr>
          <w:rFonts w:hint="eastAsia" w:ascii="仿宋_GB2312" w:eastAsia="仿宋_GB2312"/>
          <w:color w:val="000000" w:themeColor="text1"/>
          <w:sz w:val="32"/>
          <w:szCs w:val="32"/>
        </w:rPr>
        <w:t>万元，占</w:t>
      </w:r>
      <w:r>
        <w:rPr>
          <w:rFonts w:hint="eastAsia" w:ascii="仿宋_GB2312" w:eastAsia="仿宋_GB2312"/>
          <w:sz w:val="32"/>
          <w:szCs w:val="32"/>
        </w:rPr>
        <w:t>44.39%</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与年初预算数相比情况：本年支出年初预算数1,851.95万元，</w:t>
      </w:r>
      <w:r>
        <w:rPr>
          <w:rFonts w:hint="eastAsia" w:ascii="仿宋_GB2312" w:eastAsia="仿宋_GB2312"/>
          <w:sz w:val="32"/>
          <w:szCs w:val="32"/>
        </w:rPr>
        <w:t>决算数2,889.08万元</w:t>
      </w:r>
      <w:r>
        <w:rPr>
          <w:rFonts w:ascii="仿宋_GB2312" w:eastAsia="仿宋_GB2312"/>
          <w:sz w:val="32"/>
          <w:szCs w:val="32"/>
        </w:rPr>
        <w:t>，预决算差异率56%，差异主要原因是专项资金支出增加。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2,232.59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，与上年相比，减少20.72万元，下降0.92%，减少的主要原因是：人员经费减少。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2,506.13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，与上年相比，增加526.36万元，增长26.59%，增加的主要原因是：</w:t>
      </w:r>
      <w:r>
        <w:rPr>
          <w:rFonts w:ascii="仿宋_GB2312" w:eastAsia="仿宋_GB2312"/>
          <w:sz w:val="32"/>
          <w:szCs w:val="32"/>
        </w:rPr>
        <w:t>财政本级项目增加。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1,606.48</w:t>
      </w:r>
      <w:r>
        <w:rPr>
          <w:rFonts w:hint="eastAsia" w:ascii="仿宋_GB2312" w:eastAsia="仿宋_GB2312"/>
          <w:color w:val="000000" w:themeColor="text1"/>
          <w:sz w:val="32"/>
          <w:szCs w:val="32"/>
        </w:rPr>
        <w:t>万元，项目支出</w:t>
      </w:r>
      <w:r>
        <w:rPr>
          <w:rFonts w:hint="eastAsia" w:ascii="仿宋_GB2312" w:eastAsia="仿宋_GB2312"/>
          <w:sz w:val="32"/>
          <w:szCs w:val="32"/>
        </w:rPr>
        <w:t>899.65</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，与上年相比，减少273.54万元，下降100%，减少的主要原因是：结余资金全部支付完毕。</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1,851.95</w:t>
      </w:r>
      <w:r>
        <w:rPr>
          <w:rFonts w:hint="eastAsia" w:ascii="仿宋_GB2312" w:eastAsia="仿宋_GB2312"/>
          <w:color w:val="000000" w:themeColor="text1"/>
          <w:sz w:val="32"/>
          <w:szCs w:val="32"/>
        </w:rPr>
        <w:t>万元，决算数</w:t>
      </w:r>
      <w:r>
        <w:rPr>
          <w:rFonts w:hint="eastAsia" w:ascii="仿宋_GB2312" w:eastAsia="仿宋_GB2312"/>
          <w:sz w:val="32"/>
          <w:szCs w:val="32"/>
        </w:rPr>
        <w:t>2,232.59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，预决算差异率20.55%，差异主要原因是财政本级项目增加。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1,851.95</w:t>
      </w:r>
      <w:r>
        <w:rPr>
          <w:rFonts w:hint="eastAsia" w:ascii="仿宋_GB2312" w:eastAsia="仿宋_GB2312"/>
          <w:color w:val="000000" w:themeColor="text1"/>
          <w:sz w:val="32"/>
          <w:szCs w:val="32"/>
        </w:rPr>
        <w:t>万元，决算数</w:t>
      </w:r>
      <w:r>
        <w:rPr>
          <w:rFonts w:hint="eastAsia" w:ascii="仿宋_GB2312" w:eastAsia="仿宋_GB2312"/>
          <w:sz w:val="32"/>
          <w:szCs w:val="32"/>
        </w:rPr>
        <w:t>2,506.13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，预决算差异率35.32%，差异主要原因是财政本级项目增加支出。</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2,232.59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，与上年相比，增加142.01万元，增长6.79%，增加的主要原因是：人员经费减少。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2,394.1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，与上年相比，增加465.03万元，增长24.11%，增加的主要原因是：财政本级项目增加。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住房保障支出99.44万元,文化体育与传媒支出2,165.64万元,社会保障和就业支出129.03万元。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工资福利支出1,546.94万元,</w:t>
      </w:r>
      <w:r>
        <w:rPr>
          <w:rFonts w:hint="eastAsia" w:ascii="仿宋_GB2312" w:eastAsia="仿宋_GB2312"/>
          <w:sz w:val="32"/>
          <w:szCs w:val="32"/>
          <w:lang w:eastAsia="zh-CN"/>
        </w:rPr>
        <w:t>商品和服务支出</w:t>
      </w:r>
      <w:r>
        <w:rPr>
          <w:rFonts w:hint="eastAsia" w:ascii="仿宋_GB2312" w:eastAsia="仿宋_GB2312"/>
          <w:sz w:val="32"/>
          <w:szCs w:val="32"/>
          <w:lang w:val="en-US" w:eastAsia="zh-CN"/>
        </w:rPr>
        <w:t>515.08万元，</w:t>
      </w:r>
      <w:r>
        <w:rPr>
          <w:rFonts w:hint="eastAsia" w:ascii="仿宋_GB2312" w:eastAsia="仿宋_GB2312"/>
          <w:sz w:val="32"/>
          <w:szCs w:val="32"/>
        </w:rPr>
        <w:t>对个人和家庭的补助32.54万元,资本性支出（基本建设）299.53万元。</w:t>
      </w:r>
      <w:bookmarkStart w:id="92" w:name="_GoBack"/>
      <w:bookmarkEnd w:id="92"/>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1,851.95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2,232.59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，预决算差异率20.55%，差异主要原因是本级项目经费增加。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1,851.95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2,394.1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，预决算差异率29.27%，差异主要原因是本级项目经费增加。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，与上年相比，减少162.73万元，下降100%，减少的主要原因是：本年度</w:t>
      </w:r>
      <w:r>
        <w:rPr>
          <w:rFonts w:hint="eastAsia" w:ascii="仿宋_GB2312" w:eastAsia="仿宋_GB2312"/>
          <w:sz w:val="32"/>
          <w:szCs w:val="32"/>
          <w:lang w:eastAsia="zh-CN"/>
        </w:rPr>
        <w:t>无政府性基金预算财政收入</w:t>
      </w:r>
      <w:r>
        <w:rPr>
          <w:rFonts w:hint="eastAsia" w:ascii="仿宋_GB2312" w:eastAsia="仿宋_GB2312"/>
          <w:sz w:val="32"/>
          <w:szCs w:val="32"/>
        </w:rPr>
        <w:t>。</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112.03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，与上年相比，增加61.33万元，增长120.97%，增加的主要原因是：本年度政府性基金预算财政拨款支出112.03万元为2017年度政府性基金预算财政拨款结转资金。</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，其他支出112.03万元。按经济分类科目（按类级科目公开），商品和服务支出112.03万元。</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无差异</w:t>
      </w:r>
      <w:r>
        <w:rPr>
          <w:rFonts w:ascii="仿宋_GB2312" w:eastAsia="仿宋_GB2312"/>
          <w:color w:val="000000" w:themeColor="text1"/>
          <w:sz w:val="32"/>
          <w:szCs w:val="32"/>
        </w:rPr>
        <w:t>。</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112.03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lang w:val="en-US" w:eastAsia="zh-CN"/>
        </w:rPr>
        <w:t>100</w:t>
      </w:r>
      <w:r>
        <w:rPr>
          <w:rFonts w:ascii="仿宋_GB2312" w:eastAsia="仿宋_GB2312"/>
          <w:color w:val="000000" w:themeColor="text1"/>
          <w:sz w:val="32"/>
          <w:szCs w:val="32"/>
        </w:rPr>
        <w:t>%，差异主要原因是本年度政府性基金预算财政拨款支出112.03万元为2017年度政府性基金预算财政拨款结转资金。</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。与上年相比，减少273.54万元，下降100%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。与上年相比，减少273.54万元，下降100%。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15.64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，与上年相比，减少0.9万元，下降5.44%，减少的主要原因是：是为贯彻落实中央八项规定，财政压减单位公用经费支出。</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0%，与上年相比无变化，主要原因是：无因公出国（境）支出；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15.64</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100%，与上年相比，减少0.9万元，下降5.44%，减少的主要原因是：</w:t>
      </w:r>
      <w:r>
        <w:rPr>
          <w:rFonts w:hint="eastAsia" w:ascii="仿宋_GB2312" w:eastAsia="仿宋_GB2312"/>
          <w:sz w:val="32"/>
          <w:szCs w:val="32"/>
          <w:lang w:eastAsia="zh-CN"/>
        </w:rPr>
        <w:t>合理压减经费</w:t>
      </w:r>
      <w:r>
        <w:rPr>
          <w:rFonts w:hint="eastAsia" w:ascii="仿宋_GB2312" w:eastAsia="仿宋_GB2312"/>
          <w:sz w:val="32"/>
          <w:szCs w:val="32"/>
        </w:rPr>
        <w:t>；</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0%，与上年相比无变化，主要原因是：无公务接待费。</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新疆喀什地区泽普县文化体育广播影视局汇总</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无因公出国（境）支出。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15.64</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15.64</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车辆油费、运行维护</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8</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无公务接待费。</w:t>
      </w:r>
      <w:bookmarkEnd w:id="78"/>
      <w:bookmarkStart w:id="79" w:name="OLE_LINK84"/>
      <w:r>
        <w:rPr>
          <w:rFonts w:hint="eastAsia" w:ascii="仿宋_GB2312" w:eastAsia="仿宋_GB2312"/>
          <w:sz w:val="32"/>
          <w:szCs w:val="32"/>
        </w:rPr>
        <w:t>新疆喀什地区泽普县文化体育广播影视局汇总</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15.64</w:t>
      </w:r>
      <w:r>
        <w:rPr>
          <w:rFonts w:hint="eastAsia" w:ascii="仿宋_GB2312" w:eastAsia="仿宋_GB2312"/>
          <w:color w:val="000000" w:themeColor="text1"/>
          <w:sz w:val="32"/>
          <w:szCs w:val="32"/>
        </w:rPr>
        <w:t>万元，决算数15.64万元</w:t>
      </w:r>
      <w:r>
        <w:rPr>
          <w:rFonts w:ascii="仿宋_GB2312" w:eastAsia="仿宋_GB2312"/>
          <w:color w:val="000000" w:themeColor="text1"/>
          <w:sz w:val="32"/>
          <w:szCs w:val="32"/>
        </w:rPr>
        <w:t>，预决算差异率0%，差异主要原因是无差异。</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，预决算差异率0%，差异主要原因是无因公出国（境）支出；</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，预决算差异率0%，差异主要原因是无公务用车购置费；</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15.64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15.64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无公务接待费。</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泽普县文化体育广播影视局汇总机关运行经费支出74.01万元，与上年相比，增加28.32万元，增长61.98%，增加的主要原因是：2018年文工团文艺下乡演出、图书馆流动图书下乡、文化馆农民画、新疆四史展览下乡次数增加，车辆油费、运行维护经费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262.47</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260.44</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2.03</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9</w:t>
      </w:r>
      <w:r>
        <w:rPr>
          <w:rFonts w:hint="eastAsia" w:ascii="仿宋_GB2312" w:eastAsia="仿宋_GB2312"/>
          <w:color w:val="000000" w:themeColor="text1"/>
          <w:sz w:val="32"/>
          <w:szCs w:val="32"/>
        </w:rPr>
        <w:t>辆，价值</w:t>
      </w:r>
      <w:r>
        <w:rPr>
          <w:rFonts w:hint="eastAsia" w:ascii="仿宋_GB2312" w:eastAsia="仿宋_GB2312"/>
          <w:sz w:val="32"/>
          <w:szCs w:val="32"/>
        </w:rPr>
        <w:t>141.5</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9</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图书流动车、流动舞台车、流动文化车、文化下乡、文化市场扫黄打非车、援疆干部用车、待报废桑塔纳、单位领导用车2辆；</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1</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开展预算绩效管理和绩效自评工作取得了明显的效果。</w:t>
      </w:r>
    </w:p>
    <w:p>
      <w:pPr>
        <w:spacing w:line="540" w:lineRule="exact"/>
        <w:ind w:left="-1" w:right="-1" w:firstLine="646"/>
        <w:jc w:val="left"/>
      </w:pPr>
      <w:r>
        <w:rPr>
          <w:rFonts w:ascii="仿宋_GB2312" w:hAnsi="仿宋_GB2312" w:eastAsia="仿宋_GB2312" w:cs="仿宋_GB2312"/>
          <w:b w:val="0"/>
          <w:color w:val="auto"/>
          <w:sz w:val="32"/>
          <w:u w:val="none"/>
        </w:rPr>
        <w:t>1、地方公共文化服务体系建设专项资金项目绩效自评综述：根据年初设定的绩效目标，该项目绩效自评得分为90分。项目全年预算数为34.95万元，执行数为34.95万元，完成预算的100%。主要产出和效果：一是我县应急广播体系建设；村级文化阵地建设得以保障；二是丰富群众的文化生活事业，确保文化阵地的正常运行。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下一步改进措施：对下一年度项目实施预先做好前期计划为后续工作做好铺垫。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2、叶尔羌民俗文化博物馆装修布展项项目绩效自评综述：根据年初设定的绩效目标，该项目绩效自评得分为90分。项目全年预算数为118万元，执行数为118万元，完成预算的100%。主要产出和效果：一是主要用于叶尔羌民俗文化博物馆装修布展项目支出；二是全面向群众展现新疆历史泽普历史。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下一步改进措施：对下一年度项目实施预先做好前期计划为后续工作做好铺垫。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3、博物馆纪念馆逐步免费开放补助资金项目绩效自评综述：根据年初设定的绩效目标，该项目绩效自评得分为90分。项目全年预算数为20万元，执行数为20万元，完成预算的100%。主要产出和效果：确保2018年博物馆、纪念馆免费开放日常公用支出，提高的服务质量。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下一步改进措施：对下一年度项目实施预先做好前期计划为后续工作做好铺垫。</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4、农村文化建设资金项目绩效自评综述：根据年初设定的绩效目标，该项目绩效自评得分为90分。项目全年预算数为15.61万元，执行数为15.61万元，完成预算的100%。主要产出和效果：丰富农民的文化生活，以表演形式引领农民文化意识形态正确发展。发现的问题及原因：无。下一步改进措施：需预先做好前期方案制度加强资金管控及项目后期支持力度</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5、农户广播电视覆盖项目绩效自评综述：根据年初设定的绩效目标，该项目绩效自评得分为90分。项目全年预算数为264.95万元，执行数为264.95万元，完成预算的100%。主要产出和效果：一是主要用于农村广播电视全覆盖购买设备安装支出；二是丰富基层群众精神文化生活，确保基层群众能正常收听收看广播电视。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下一步改进措施：对下一年度项目实施预先做好前期计划为后续工作做好铺垫。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6、公共体育普及工程中央基建投资预算项目绩效自评综述：根据年初设定的绩效目标，该项目绩效自评得分为50分。项目全年预算数为600万元，执行数为299.53万元，完成预算的49.92%。主要产出和效果：为全县体育事业发展提供基础设施保障。发现的问题及原因：资金管理、监控、项目实施执行力度还有待加强。下一步改进措施：加强资金管控力度及项目执行力度。</w:t>
      </w:r>
    </w:p>
    <w:p>
      <w:pPr>
        <w:spacing w:line="540" w:lineRule="exact"/>
        <w:ind w:left="-1" w:right="-1" w:firstLine="646"/>
        <w:jc w:val="left"/>
      </w:pPr>
      <w:r>
        <w:rPr>
          <w:rFonts w:ascii="仿宋_GB2312" w:hAnsi="仿宋_GB2312" w:eastAsia="仿宋_GB2312" w:cs="仿宋_GB2312"/>
          <w:b w:val="0"/>
          <w:color w:val="auto"/>
          <w:sz w:val="32"/>
          <w:u w:val="none"/>
        </w:rPr>
        <w:t>7、全区乡镇村村通运维聘用人员工资项目绩效自评综述：根据年初设定的绩效目标，该项目绩效自评得分为90分。项目全年预算数为26.83万元，执行数为26.83万元，完成预算的100%。主要产出和效果：提供清晰可靠的广播电视节目，为全县观众提供优质服务。发现的问题及原因：无。下一步改进措施：无。</w:t>
      </w:r>
    </w:p>
    <w:p>
      <w:pPr>
        <w:spacing w:line="540" w:lineRule="exact"/>
        <w:ind w:left="-1" w:right="-1" w:firstLine="646"/>
        <w:jc w:val="left"/>
        <w:rPr>
          <w:rFonts w:hint="eastAsia" w:ascii="仿宋_GB2312" w:hAnsi="仿宋_GB2312" w:eastAsia="仿宋_GB2312" w:cs="仿宋_GB2312"/>
          <w:b w:val="0"/>
          <w:color w:val="auto"/>
          <w:sz w:val="32"/>
          <w:u w:val="none"/>
          <w:lang w:eastAsia="zh-CN"/>
        </w:rPr>
      </w:pPr>
      <w:r>
        <w:rPr>
          <w:rFonts w:ascii="仿宋_GB2312" w:hAnsi="仿宋_GB2312" w:eastAsia="仿宋_GB2312" w:cs="仿宋_GB2312"/>
          <w:b w:val="0"/>
          <w:color w:val="auto"/>
          <w:sz w:val="32"/>
          <w:u w:val="none"/>
        </w:rPr>
        <w:t>8、中央补助地方公共文化服务体系建设专项资金项目绩效自评综述：根据年初设定的绩效目标，该项目绩效自评得分为70分。项目全年预算数为170.79万元，执行数为116.61万元，完成预算的68.28%。主要产出和效果：送戏下乡镇、深度贫困县应急广播体系建设、中央广播电视节目无线覆盖工程（模拟信号覆盖）运行维护费，文化阵地建设等，从而为我县各族群众呈现了积极向上的文艺节目，丰富了广大群众精神文化生活。发现的问题及原因：资金管理、监控、项目实施执行力度还有待加强</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下一步改进措施：加强资金管控力度及项目执行力度</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9、自治区非物质文化遗产保护经费项目绩效自评综述：根据年初设定的绩效目标，该项目绩效自评得分为90分。项目全年预算数为10万元，执行数为10万元，完成预算的100%。主要产出和效果：是主要用于泽普县瓜果储藏技艺传承人文化遗产保护项目；二是对泽普县瓜果储藏技艺传承人文化遗产保护进行推广宣传。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下一步改进措施：对下一年度项目实施预先做好前期计划为后续工作做好铺垫。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10、自治区无线覆盖工程运行维护费项目绩效自评综述：根据年初设定的绩效目标，该项目绩效自评得分为90分。项目全年预算数为46.65万元，执行数为46.65万元，完成预算的100%。主要产出和效果：一是主要用于数字电影2套、广播2套节目无线覆盖的正常运行；二是提供清晰可靠的广播电视节目，为全县观众提供优质服务。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下一步改进措施：对下一年度项目实施预先做好前期计划为后续工作做好铺垫。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11、自治区地县两级艺术表演团体政府购买演出补助经费项目绩效自评综述：根据年初设定的绩效目标，该项目绩效自评得分为90分。项目全年预算数为8.29万元，执行数为8.29万元，完成预算的100%。主要产出和效果：主要用于泽普县文工团日常经费演出道具及演出车辆运行维护等支出。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下一步改进措施：对下一年度项目实施预先做好前期计划为后续工作做好铺垫。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12、美术馆、图书馆、文化馆（站、室）免费开放资金项目绩效自评综述：根据年初设定的绩效目标，该项目绩效自评得分为50分。项目全年预算数为9.51万元，执行数为9.51万元，完成预算的100%。主要产出和效果：一是丰富农民的文化生活，以表演形式引领农民文化意识形态正确发展；二是在丰富农民的文化生活的同时以表演的内容引领农民文化意识形态正确发展，持续发展逐步引导农村的社会观、价值观、世界观。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下一步改进措施：对下一年度项目实施预先做好前期计划为后续工作做好铺垫。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13、文物保护单位看护人员专项补助经费项目绩效自评综述：根据年初设定的绩效目标，该项目绩效自评得分为90分。项目全年预算数为4.8万元，执行数为4.8万元，完成预算的100%。主要产出和效果：一是主要用于泽普县野外文物点看护人员工资支出；二是按国家文物局一处文物点最少2名看护人员的要求文体局野外文物保护单位看护人员2名。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下一步改进措施：对下一年度项目实施预先做好前期计划为后续工作做好铺垫。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14、文化人才专项经费项目绩效自评综述：根据年初设定的绩效目标，该项目绩效自评得分为52分。项目全年预算数为8万元，执行数为3.31万元，完成预算的41.38%。主要产出和效果：一是主要用于文化、体育活动的开展，强调组织开展效果，篮球比赛1场、红歌比赛1场、广场舞比赛1场支出；二是以文化为引领，组织开展多样化文体赛事，丰富群众业余生活，调动群众参与性。发现的问题及原因：专项资金未执行完</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下一步改进措施：对下一年度项目实施预先做好前期计划为后续工作做好铺垫。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15、彩票公益金项目绩效自评综述：根据年初设定的绩效目标，该项目绩效自评得分为90分。项目全年预算数为112.03万元，执行数为112.03万元，完成预算的100%。主要产出和效果：一是主要用于文化、体育活动的开展，乡镇4个全民健身广场的建设；二是为全县体育事业奠定良好的基础。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下一步改进措施：对下一年度项目实施预先做好前期计划为后续工作做好铺垫。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16、广播电视文化书屋工作建设经费项目绩效自评综述：根据年初设定的绩效目标，该项目绩效自评得分为90分。项目全年预算数为49.85万元，执行数为49.85万元，完成预算的100%。主要产出和效果：一是农村广播电视全覆盖购买设备安装；二是丰富基层群众精神文化生活，确保基层群众能正常收听收看广播电视。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下一步改进措施：对下一年度项目实施预先做好前期计划为后续工作做好铺垫。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17、三区文化人才专项经费项目绩效自评综述：根据年初设定的绩效目标，该项目绩效自评得分为90分。项目全年预算数为5万元，执行数为5万元，完成预算的100%。主要产出和效果：一是确保各类文化、体育活动的开展，强调组织开展效果，篮球比赛1场、红歌比赛1场、广场舞比赛1场；二是给全县群众带去了优质的文化服务以文化为引领，组织开展多样化文体赛事，丰富群众业余生活，调动群众参与性。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下一步改进措施：对下一年度项目实施预先做好前期计划为后续工作做好铺垫。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18、2018年美术馆公共图书馆文化馆(站)免费开放专项资金项目绩效自评综述：根据年初设定的绩效目标，该项目绩效自评得分为90分。项目全年预算数为122万元，执行数为122万元，完成预算的100%。主要产出和效果：一是2018年美术馆公共图书馆 文化馆(16个站点)免费开放日常公用支出，提高各馆、站点的服务质量，全年无间隙开放；二是确保各馆的正常运行。发现的问题及原因：无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下一步改进措施：对下一年度项目实施预先做好前期计划为后续工作做好铺垫。</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207（类）02（款）01（项）指：行政运行。207（类）01（款）05（项）指：文化展示及纪念机构。207（类）02（款）04（项）指：文物保护。207（类）01（款）04（项）指：图书馆。207（类）01（款）01（项）指：行政运行。208（类）05（款）05（项）指：机关事业单位基本养老保险缴费支出。229（类）60（款）10（项）指：用于文化事业的彩票公益金支出。207（类）04（款）99（项）指：其他新闻出版广播影视支出。207（类）03（款）99（项）指：其他体育支出。207（类）01（款）12（项）指：文化市场管理。207（类）02（款）99（项）指：其他文物支出。221（类）02（款）01（项）指：住房公积金。207（类）01（款）11（项）指：文化创作与保护。207（类）01（款）99（项）指：其他文化支出。229（类）60（款）03（项）指：用于体育事业的彩票公益金支出。207（类）03（款）08（项）指：群众体育。207（类）04（款）09（项）指：版权管理。207（类）99（款）99（项）指：其他文化体育与传媒支出。207（类）01（款）07（项）指：艺术表演团体。207（类）04（款）04（项）指：广播。207（类）02（款）05（项）指：博物馆。207（类）01（款）09（项）指：群众文化。207（类）04（款）06（项）指：电影。207（类）01（款）08（项）指：文化活动。207（类）04（款）05（项）指：电视。</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31AC"/>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540391"/>
    <w:rsid w:val="01902337"/>
    <w:rsid w:val="028847F9"/>
    <w:rsid w:val="03AA79F6"/>
    <w:rsid w:val="04741FE5"/>
    <w:rsid w:val="04DB02C7"/>
    <w:rsid w:val="055628D3"/>
    <w:rsid w:val="06376341"/>
    <w:rsid w:val="06B856EE"/>
    <w:rsid w:val="07FE5938"/>
    <w:rsid w:val="084604BC"/>
    <w:rsid w:val="08883825"/>
    <w:rsid w:val="09725983"/>
    <w:rsid w:val="0A382BB5"/>
    <w:rsid w:val="0AA4543A"/>
    <w:rsid w:val="0BE61132"/>
    <w:rsid w:val="0C075504"/>
    <w:rsid w:val="0C8D5A08"/>
    <w:rsid w:val="0C9B0DD6"/>
    <w:rsid w:val="0CE4791C"/>
    <w:rsid w:val="0E063C64"/>
    <w:rsid w:val="0F4C7B96"/>
    <w:rsid w:val="0FFB575E"/>
    <w:rsid w:val="10845F1B"/>
    <w:rsid w:val="11463A00"/>
    <w:rsid w:val="11600918"/>
    <w:rsid w:val="11B0398F"/>
    <w:rsid w:val="13B960C5"/>
    <w:rsid w:val="152777F4"/>
    <w:rsid w:val="15C674B6"/>
    <w:rsid w:val="18CF08BD"/>
    <w:rsid w:val="18D54A0D"/>
    <w:rsid w:val="1A4106A0"/>
    <w:rsid w:val="1A4F5437"/>
    <w:rsid w:val="1AB77CD0"/>
    <w:rsid w:val="1E807156"/>
    <w:rsid w:val="1EA657F6"/>
    <w:rsid w:val="1F097CB6"/>
    <w:rsid w:val="2166156B"/>
    <w:rsid w:val="21B02D83"/>
    <w:rsid w:val="22A236F5"/>
    <w:rsid w:val="22D86341"/>
    <w:rsid w:val="23995975"/>
    <w:rsid w:val="240E04F5"/>
    <w:rsid w:val="2432220E"/>
    <w:rsid w:val="247F6E6D"/>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78F7E58"/>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86D3AE7"/>
    <w:rsid w:val="59B332C9"/>
    <w:rsid w:val="5A44758A"/>
    <w:rsid w:val="5B6D3FEA"/>
    <w:rsid w:val="5BEC4BB3"/>
    <w:rsid w:val="5C070B55"/>
    <w:rsid w:val="5CB96DCE"/>
    <w:rsid w:val="5CE61580"/>
    <w:rsid w:val="5D175666"/>
    <w:rsid w:val="5D556A3C"/>
    <w:rsid w:val="5D7B25C9"/>
    <w:rsid w:val="5ECB44B4"/>
    <w:rsid w:val="5EE2043C"/>
    <w:rsid w:val="602D2E37"/>
    <w:rsid w:val="61460FBE"/>
    <w:rsid w:val="62682C48"/>
    <w:rsid w:val="62775810"/>
    <w:rsid w:val="62D83744"/>
    <w:rsid w:val="630F4048"/>
    <w:rsid w:val="63AA02E5"/>
    <w:rsid w:val="64352E33"/>
    <w:rsid w:val="64700DE9"/>
    <w:rsid w:val="65C613BD"/>
    <w:rsid w:val="65FD118C"/>
    <w:rsid w:val="682C3D89"/>
    <w:rsid w:val="68611305"/>
    <w:rsid w:val="68A951A1"/>
    <w:rsid w:val="6A162DE0"/>
    <w:rsid w:val="6A331428"/>
    <w:rsid w:val="6B2E5CB6"/>
    <w:rsid w:val="6B3D4886"/>
    <w:rsid w:val="6D811E95"/>
    <w:rsid w:val="6DF66DEC"/>
    <w:rsid w:val="6DF8675E"/>
    <w:rsid w:val="6EA80098"/>
    <w:rsid w:val="6EF56F0D"/>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94C0427"/>
    <w:rsid w:val="797D54A2"/>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7</TotalTime>
  <ScaleCrop>false</ScaleCrop>
  <LinksUpToDate>false</LinksUpToDate>
  <CharactersWithSpaces>7696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2021-06-09T04:26:04Z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