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新疆喀什地区泽普县残疾人联合会2019年度部门决算公开说明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 xml:space="preserve">残联主要职能：残联是县人民政府领导联系残疾人的残疾人自身代表组织 、社会福利 团体、社会管理机构和事业管理机构融为一体的残疾人事业团体 ，具有“ 代表、服务、管理”职能；代表残疾人的共同利益，维护残疾人合法权 益，开展各项业务活动，直接为残疾人服务。残联由县人民政府领导，承 担县人民政府委托的部分行政职能，业务上接受有关部门对口指导。    </w:t>
      </w:r>
    </w:p>
    <w:p>
      <w:pPr>
        <w:ind w:firstLine="480"/>
        <w:jc w:val="both"/>
      </w:pPr>
      <w:r>
        <w:rPr>
          <w:rFonts w:ascii="仿宋_GB2312" w:hAnsi="仿宋_GB2312" w:cs="仿宋_GB2312" w:eastAsia="仿宋_GB2312"/>
          <w:b w:val="false"/>
          <w:sz w:val="32"/>
        </w:rPr>
        <w:t>机构设置及人员情况：无下属预算单位。泽普县残疾人联合会（本级）单位无下属预算单位，下设4个处室， 分别是：残疾人康复办、残疾人就业所、信访办、综合办等办公室。</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新疆喀什地区泽普县残疾人联合会2019年度，实有人数17人，其中：在职人员13人，离休人员0人，退休人员4人。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从部门决算单位构成看，新疆喀什地区泽普县残疾人联合会部门决算包括：新疆喀什地区泽普县残疾人联合会决算。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2019年度本年收入260.65万元，与上年相比，减少32.23万元，下降11%，主要原因是：残疾人康复经费专项减少。本年支出284.42万元，与上年相比，减少29.57万元，下降9.42%，主要原因是：残疾人康复经费专项减少。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2019年度本年收入260.65万元，其中：财政拨款收入260.65万元，占100%；上级补助收入0万元，占0%；事业收入0万元，占0%；经营收入0万元，占0%；附属单位上缴收入0万元，占0%；其他收入0万元，占0%。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2019年度本年支出284.42万元，其中：基本支出206.69万元，占72.67%；项目支出77.73万元，占27.33%；上缴上级支出0万元，占0%；经营支出0万元，占0%；对附属单位补助支出0万元，占0%。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260.65万元，与上年相比，减少32.23万元，下降11%，主要原因是：残疾人康复经费专项减少。财政拨款支出284.42万元，与上年相比，减少29.57万元，下降9.42%，主要原因是：残疾人康复经费专项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192.71万元，决算数260.65万元，预决算差异率35.26%，主要原因是：残疾人康复经费专项减少。财政拨款支出年初预算数192.71万元，决算数284.42万元，预决算差异率47.59%，主要原因是：残疾人康复经费专项减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2019年度一般公共预算财政拨款支出271.02万元。按功能分类科目项级科目公开，其中：</w:t>
      </w:r>
    </w:p>
    <w:p>
      <w:pPr>
        <w:ind w:firstLine="480"/>
        <w:jc w:val="both"/>
      </w:pPr>
      <w:r>
        <w:rPr>
          <w:rFonts w:ascii="仿宋_GB2312" w:hAnsi="仿宋_GB2312" w:cs="仿宋_GB2312" w:eastAsia="仿宋_GB2312"/>
          <w:b w:val="false"/>
          <w:sz w:val="32"/>
        </w:rPr>
        <w:t xml:space="preserve">   2010301行政运行支出126.72万元；</w:t>
      </w:r>
    </w:p>
    <w:p>
      <w:pPr>
        <w:ind w:firstLine="480"/>
        <w:jc w:val="both"/>
      </w:pPr>
      <w:r>
        <w:rPr>
          <w:rFonts w:ascii="仿宋_GB2312" w:hAnsi="仿宋_GB2312" w:cs="仿宋_GB2312" w:eastAsia="仿宋_GB2312"/>
          <w:b w:val="false"/>
          <w:sz w:val="32"/>
        </w:rPr>
        <w:t xml:space="preserve">   2010350事业运行支出43.30万元；</w:t>
      </w:r>
    </w:p>
    <w:p>
      <w:pPr>
        <w:ind w:firstLine="480"/>
        <w:jc w:val="both"/>
      </w:pPr>
      <w:r>
        <w:rPr>
          <w:rFonts w:ascii="仿宋_GB2312" w:hAnsi="仿宋_GB2312" w:cs="仿宋_GB2312" w:eastAsia="仿宋_GB2312"/>
          <w:b w:val="false"/>
          <w:sz w:val="32"/>
        </w:rPr>
        <w:t xml:space="preserve">   2080505机关事业单位基本养老保险缴费支出18.67万元；</w:t>
      </w:r>
    </w:p>
    <w:p>
      <w:pPr>
        <w:ind w:firstLine="480"/>
        <w:jc w:val="both"/>
      </w:pPr>
      <w:r>
        <w:rPr>
          <w:rFonts w:ascii="仿宋_GB2312" w:hAnsi="仿宋_GB2312" w:cs="仿宋_GB2312" w:eastAsia="仿宋_GB2312"/>
          <w:b w:val="false"/>
          <w:sz w:val="32"/>
        </w:rPr>
        <w:t xml:space="preserve">   2081104残疾人康复支出56.43万元；</w:t>
      </w:r>
    </w:p>
    <w:p>
      <w:pPr>
        <w:ind w:firstLine="480"/>
        <w:jc w:val="both"/>
      </w:pPr>
      <w:r>
        <w:rPr>
          <w:rFonts w:ascii="仿宋_GB2312" w:hAnsi="仿宋_GB2312" w:cs="仿宋_GB2312" w:eastAsia="仿宋_GB2312"/>
          <w:b w:val="false"/>
          <w:sz w:val="32"/>
        </w:rPr>
        <w:t xml:space="preserve">   2081105残疾人就业和扶贫支出2.20万元；</w:t>
      </w:r>
    </w:p>
    <w:p>
      <w:pPr>
        <w:ind w:firstLine="480"/>
        <w:jc w:val="both"/>
      </w:pPr>
      <w:r>
        <w:rPr>
          <w:rFonts w:ascii="仿宋_GB2312" w:hAnsi="仿宋_GB2312" w:cs="仿宋_GB2312" w:eastAsia="仿宋_GB2312"/>
          <w:b w:val="false"/>
          <w:sz w:val="32"/>
        </w:rPr>
        <w:t xml:space="preserve">   2081199其他残疾人事业支出9.89万元；</w:t>
      </w:r>
    </w:p>
    <w:p>
      <w:pPr>
        <w:ind w:firstLine="480"/>
        <w:jc w:val="both"/>
      </w:pPr>
      <w:r>
        <w:rPr>
          <w:rFonts w:ascii="仿宋_GB2312" w:hAnsi="仿宋_GB2312" w:cs="仿宋_GB2312" w:eastAsia="仿宋_GB2312"/>
          <w:b w:val="false"/>
          <w:sz w:val="32"/>
        </w:rPr>
        <w:t xml:space="preserve">   2210201住房公积金支出13.80万元。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2019年度一般公共预算财政拨款基本支出206.69万元，其中：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195.18万元，包括：基本工资、津贴补贴、绩效工资、机关事业单位基本养老保险缴费、职工基本医疗保险缴费、公务员医疗补助缴费、其他社会保障缴费、住房公积金、其他工资福利支出、救济费、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公用经费11.51万元，包括：办公费、水费、邮电费、取暖费、差旅费、劳务费、公务用车运行维护费。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万元，比上年减少0.46万元，降低18.7%，主要原因是按八项规定要求缩减车辆运行支出。其中，因公出国（境）费支出0万元，占0%，比上年增加0万元，增长0%，主要原因是我单位无此类情况；公务用车购置及运行维护费支出2万元，占100%，比上年减少0.46万元，降低18.7%，主要原因是按八项规定要求缩减车辆运行支出；公务接待费支出0万元，占0%，比上年增加0万元，增长0%，主要原因是我单位无此类情况。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因公出国（境）费支出0万元，开支内容包括：我单位无此类情况。单位全年安排的因公出国（境）团组0个，因公出国（境）0人次。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公务用车购置及运行维护费2万元，其中，公务用车购置费0万元，公务用车运行维护费2万元。公务用车运行维护费开支内容包括按八项规定要求缩减车辆运行支出。公务用车购置数0辆，公务用车保有量2辆。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公务接待费0万元，开支内容包括我单位无此类情况。单位全年安排的国内公务接待0批次，0人次。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3.50万元，决算数2万元，预决算差异率-42.86%，主要原因是：按八项规定要求缩减车辆运行支出。其中：因公出国（境）费预算数0万元，决算数0万元，预决算差异率0%，主要原因是：我单位无此类情况；公务用车购置费预算数0万元，决算数0万元，预决算差异率0%，主要原因是：我单位无此类情况；公务用车运行费预算数3.50万元，决算数2万元，预决算差异率-42.86%，主要原因是：按八项规定要求缩减车辆运行支出；公务接待费预算数0万元，决算数0万元，预决算差异率0%，主要原因是：我单位无此类情况。</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0.45万元，与上年相比，减少23.95万元，下降98.16%，主要原因是：残疾人康复经费专项减少。政府性基金预算支出13.40万元，与上年相比，减少11万元，下降45.08%，主要原因是：残疾人康复经费专项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2019年度新疆喀什地区泽普县残疾人联合会机关运行经费支出11.51万元，比上年增加0.09万元，增长0.79%，主要原因是办公经费增加。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2019年度政府采购支出总额6.41万元，其中：政府采购货物支出5.98万元、政府采购工程支出0万元、政府采购服务支出0.43万元。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授予中小企业合同金额6.41万元，占政府采购支出总额的100%，其中：授予小微企业合同金额6.41万元，占政府采购支出总额的100%。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2,643.58（平方米），价值448.76万元。车辆2辆，价值37.24万元，其中：副部（省）级及以上领导用车0辆、主要领导干部用车0辆、机要通信用车0辆、应急保障用车0辆、执法执勤用车0辆、特种专业技术用车0辆、离退休干部用车0辆、其他用车2辆，其他用车主要是：残疾人联合会业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101.73万元。预算绩效管理取得的成效：通过实施资助补助，让残疾人及时享受国家惠民政策，减轻了残疾人家庭的经济负担，受助残疾人生活自理和参与社会的能力和生活水平，生活质量不断提高。发现的问题及原因：残疾人事业发展补助项目，资金使用还需要进一步规范，项目档案资料需进一步完善。下一步改进措施：残疾人事业发展补助资金，在使用上根据残疾人的实际情况，因地制让残疾人享受到国家优惠政策。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uf9th4sweNWkETUwrlyH8w==" w:hash="ZD6zX5sbIuJh4rH6iwb4vmjvMgI="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