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4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4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4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4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4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4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4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4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  <w:lang w:val="zh-TW" w:eastAsia="zh-TW"/>
        </w:rPr>
      </w:pPr>
      <w:r>
        <w:rPr>
          <w:rFonts w:hint="eastAsia" w:ascii="华文中宋" w:hAnsi="华文中宋" w:eastAsia="华文中宋" w:cs="华文中宋"/>
          <w:b/>
          <w:bCs/>
          <w:kern w:val="0"/>
          <w:sz w:val="52"/>
          <w:szCs w:val="52"/>
          <w:lang w:val="zh-TW" w:eastAsia="zh-TW"/>
        </w:rPr>
        <w:t>新疆财政支出绩效自评报告</w:t>
      </w:r>
    </w:p>
    <w:p>
      <w:pPr>
        <w:pStyle w:val="4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48"/>
        <w:spacing w:line="540" w:lineRule="exact"/>
        <w:jc w:val="center"/>
        <w:rPr>
          <w:rFonts w:eastAsia="Times New Roman"/>
          <w:kern w:val="0"/>
          <w:sz w:val="36"/>
          <w:szCs w:val="36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  <w:lang w:val="zh-TW" w:eastAsia="zh-TW"/>
        </w:rPr>
        <w:t>（</w:t>
      </w: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201</w:t>
      </w:r>
      <w:r>
        <w:rPr>
          <w:rFonts w:ascii="仿宋_GB2312" w:hAnsi="仿宋_GB2312" w:eastAsia="仿宋_GB2312" w:cs="仿宋_GB2312"/>
          <w:kern w:val="0"/>
          <w:sz w:val="36"/>
          <w:szCs w:val="36"/>
          <w:lang w:val="zh-TW"/>
        </w:rPr>
        <w:t>9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  <w:lang w:val="zh-TW" w:eastAsia="zh-TW"/>
        </w:rPr>
        <w:t>年度）</w:t>
      </w:r>
    </w:p>
    <w:p>
      <w:pPr>
        <w:pStyle w:val="48"/>
        <w:spacing w:line="540" w:lineRule="exact"/>
        <w:jc w:val="center"/>
        <w:rPr>
          <w:rFonts w:eastAsia="Times New Roman"/>
          <w:kern w:val="0"/>
          <w:sz w:val="30"/>
          <w:szCs w:val="30"/>
        </w:rPr>
      </w:pPr>
    </w:p>
    <w:p>
      <w:pPr>
        <w:pStyle w:val="48"/>
        <w:spacing w:line="540" w:lineRule="exact"/>
        <w:jc w:val="center"/>
        <w:rPr>
          <w:rFonts w:eastAsia="Times New Roman"/>
          <w:kern w:val="0"/>
          <w:sz w:val="30"/>
          <w:szCs w:val="30"/>
        </w:rPr>
      </w:pPr>
    </w:p>
    <w:p>
      <w:pPr>
        <w:pStyle w:val="48"/>
        <w:spacing w:line="540" w:lineRule="exact"/>
        <w:jc w:val="center"/>
        <w:rPr>
          <w:rFonts w:eastAsia="Times New Roman"/>
          <w:kern w:val="0"/>
          <w:sz w:val="30"/>
          <w:szCs w:val="30"/>
        </w:rPr>
      </w:pPr>
    </w:p>
    <w:p>
      <w:pPr>
        <w:pStyle w:val="48"/>
        <w:spacing w:line="540" w:lineRule="exact"/>
        <w:jc w:val="center"/>
        <w:rPr>
          <w:rFonts w:eastAsia="Times New Roman"/>
          <w:kern w:val="0"/>
          <w:sz w:val="30"/>
          <w:szCs w:val="30"/>
        </w:rPr>
      </w:pPr>
    </w:p>
    <w:p>
      <w:pPr>
        <w:pStyle w:val="48"/>
        <w:spacing w:line="540" w:lineRule="exact"/>
        <w:rPr>
          <w:rFonts w:eastAsia="Times New Roman"/>
          <w:kern w:val="0"/>
          <w:sz w:val="30"/>
          <w:szCs w:val="30"/>
        </w:rPr>
      </w:pPr>
    </w:p>
    <w:p>
      <w:pPr>
        <w:pStyle w:val="48"/>
        <w:spacing w:line="700" w:lineRule="exact"/>
        <w:jc w:val="left"/>
        <w:rPr>
          <w:rFonts w:ascii="仿宋_GB2312" w:hAnsi="仿宋_GB2312" w:eastAsia="仿宋_GB2312" w:cs="仿宋_GB2312"/>
          <w:kern w:val="0"/>
          <w:sz w:val="36"/>
          <w:szCs w:val="36"/>
          <w:lang w:val="zh-TW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  <w:lang w:val="zh-TW" w:eastAsia="zh-TW"/>
        </w:rPr>
        <w:t>项目名称：</w:t>
      </w:r>
      <w:r>
        <w:rPr>
          <w:rFonts w:ascii="仿宋_GB2312" w:hAnsi="仿宋_GB2312" w:eastAsia="仿宋_GB2312" w:cs="仿宋_GB2312"/>
          <w:kern w:val="0"/>
          <w:sz w:val="36"/>
          <w:szCs w:val="36"/>
          <w:lang w:val="zh-TW"/>
        </w:rPr>
        <w:t>1995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  <w:lang w:val="zh-TW"/>
        </w:rPr>
        <w:t>年以前破产关闭企业退休人员生活补助项目</w:t>
      </w:r>
    </w:p>
    <w:p>
      <w:pPr>
        <w:pStyle w:val="48"/>
        <w:spacing w:line="700" w:lineRule="exact"/>
        <w:jc w:val="left"/>
        <w:rPr>
          <w:rFonts w:eastAsia="Times New Roman"/>
          <w:kern w:val="0"/>
          <w:sz w:val="36"/>
          <w:szCs w:val="36"/>
          <w:lang w:val="zh-TW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  <w:lang w:val="zh-TW" w:eastAsia="zh-TW"/>
        </w:rPr>
        <w:t>实施单位（公章）：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/>
        </w:rPr>
        <w:t>泽普县劳动就业保险管理局</w:t>
      </w:r>
    </w:p>
    <w:p>
      <w:pPr>
        <w:pStyle w:val="48"/>
        <w:spacing w:line="700" w:lineRule="exact"/>
        <w:jc w:val="left"/>
        <w:rPr>
          <w:rFonts w:eastAsia="Times New Roman"/>
          <w:kern w:val="0"/>
          <w:sz w:val="36"/>
          <w:szCs w:val="36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  <w:lang w:val="zh-TW" w:eastAsia="zh-TW"/>
        </w:rPr>
        <w:t>主管部门（公章）：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/>
        </w:rPr>
        <w:t>泽普县人力资源和社会保障局</w:t>
      </w:r>
    </w:p>
    <w:p>
      <w:pPr>
        <w:pStyle w:val="48"/>
        <w:spacing w:line="700" w:lineRule="exact"/>
        <w:jc w:val="left"/>
        <w:rPr>
          <w:rFonts w:eastAsia="Times New Roman"/>
          <w:kern w:val="0"/>
          <w:sz w:val="36"/>
          <w:szCs w:val="36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  <w:lang w:val="zh-TW" w:eastAsia="zh-TW"/>
        </w:rPr>
        <w:t>项目负责人（签章）：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  <w:lang w:val="zh-TW"/>
        </w:rPr>
        <w:t>邓波</w:t>
      </w:r>
    </w:p>
    <w:p>
      <w:pPr>
        <w:pStyle w:val="48"/>
        <w:spacing w:line="700" w:lineRule="exact"/>
        <w:jc w:val="left"/>
        <w:rPr>
          <w:rFonts w:ascii="仿宋_GB2312" w:hAnsi="仿宋_GB2312" w:eastAsia="仿宋_GB2312" w:cs="仿宋_GB2312"/>
          <w:kern w:val="0"/>
          <w:sz w:val="36"/>
          <w:szCs w:val="36"/>
          <w:lang w:val="zh-TW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  <w:lang w:val="zh-TW" w:eastAsia="zh-TW"/>
        </w:rPr>
        <w:t>填报时间：</w:t>
      </w: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201</w:t>
      </w:r>
      <w:r>
        <w:rPr>
          <w:rFonts w:ascii="仿宋_GB2312" w:hAnsi="仿宋_GB2312" w:eastAsia="仿宋_GB2312" w:cs="仿宋_GB2312"/>
          <w:kern w:val="0"/>
          <w:sz w:val="36"/>
          <w:szCs w:val="36"/>
          <w:lang w:val="zh-TW"/>
        </w:rPr>
        <w:t>9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  <w:lang w:val="zh-TW" w:eastAsia="zh-TW"/>
        </w:rPr>
        <w:t>年</w:t>
      </w:r>
      <w:r>
        <w:rPr>
          <w:rFonts w:ascii="仿宋_GB2312" w:hAnsi="仿宋_GB2312" w:eastAsia="仿宋_GB2312" w:cs="仿宋_GB2312"/>
          <w:kern w:val="0"/>
          <w:sz w:val="36"/>
          <w:szCs w:val="36"/>
          <w:lang w:val="zh-TW"/>
        </w:rPr>
        <w:t>12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  <w:lang w:val="zh-TW" w:eastAsia="zh-TW"/>
        </w:rPr>
        <w:t>月</w:t>
      </w:r>
      <w:r>
        <w:rPr>
          <w:rFonts w:ascii="仿宋_GB2312" w:hAnsi="仿宋_GB2312" w:eastAsia="仿宋_GB2312" w:cs="仿宋_GB2312"/>
          <w:kern w:val="0"/>
          <w:sz w:val="36"/>
          <w:szCs w:val="36"/>
        </w:rPr>
        <w:t>31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  <w:lang w:val="zh-TW" w:eastAsia="zh-TW"/>
        </w:rPr>
        <w:t>日</w:t>
      </w:r>
    </w:p>
    <w:p>
      <w:pPr>
        <w:pStyle w:val="48"/>
        <w:spacing w:line="700" w:lineRule="exact"/>
        <w:jc w:val="left"/>
        <w:rPr>
          <w:rFonts w:ascii="仿宋_GB2312" w:hAnsi="仿宋_GB2312" w:eastAsia="仿宋_GB2312" w:cs="仿宋_GB2312"/>
          <w:kern w:val="0"/>
          <w:sz w:val="36"/>
          <w:szCs w:val="36"/>
          <w:lang w:val="zh-TW"/>
        </w:rPr>
      </w:pPr>
    </w:p>
    <w:p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spacing w:line="540" w:lineRule="exact"/>
        <w:ind w:firstLine="567"/>
        <w:rPr>
          <w:rStyle w:val="19"/>
          <w:rFonts w:ascii="仿宋_GB2312" w:hAnsi="仿宋" w:eastAsia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仿宋" w:eastAsia="仿宋_GB2312"/>
          <w:b w:val="0"/>
          <w:spacing w:val="-4"/>
          <w:sz w:val="32"/>
          <w:szCs w:val="32"/>
        </w:rPr>
        <w:t>社保局工作职能：作为泽普县人民政府职能部门，该局负责经办泽普县范围内养老保险、失业保险、工伤保险等社会保险及其配套险种有关业务，并履行《社会保险法》等法律法规赋予的行政职能。</w:t>
      </w:r>
    </w:p>
    <w:p>
      <w:pPr>
        <w:spacing w:line="540" w:lineRule="exact"/>
        <w:ind w:firstLine="567"/>
        <w:rPr>
          <w:rStyle w:val="19"/>
          <w:rFonts w:ascii="仿宋_GB2312" w:hAnsi="仿宋" w:eastAsia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仿宋" w:eastAsia="仿宋_GB2312"/>
          <w:b w:val="0"/>
          <w:spacing w:val="-4"/>
          <w:sz w:val="32"/>
          <w:szCs w:val="32"/>
        </w:rPr>
        <w:t>机构设置及人员情况：泽普县劳动就业保险管理局（本级）单位无下属预算单位。内设机构为七个，即：行政办公室、基金征缴股、待遇支付股、信息股、基金财务股和城乡居民社会养老保险办公室、和管办。</w:t>
      </w:r>
    </w:p>
    <w:p>
      <w:pPr>
        <w:spacing w:line="540" w:lineRule="exact"/>
        <w:ind w:firstLine="567"/>
        <w:rPr>
          <w:rStyle w:val="19"/>
          <w:rFonts w:ascii="仿宋_GB2312" w:hAnsi="仿宋" w:eastAsia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仿宋" w:eastAsia="仿宋_GB2312"/>
          <w:b w:val="0"/>
          <w:spacing w:val="-4"/>
          <w:sz w:val="32"/>
          <w:szCs w:val="32"/>
        </w:rPr>
        <w:t>泽普县劳动就业保险管理局（本级）单位编制数</w:t>
      </w:r>
      <w:r>
        <w:rPr>
          <w:rStyle w:val="19"/>
          <w:rFonts w:ascii="仿宋_GB2312" w:hAnsi="仿宋" w:eastAsia="仿宋_GB2312"/>
          <w:b w:val="0"/>
          <w:spacing w:val="-4"/>
          <w:sz w:val="32"/>
          <w:szCs w:val="32"/>
        </w:rPr>
        <w:t>20</w:t>
      </w:r>
      <w:r>
        <w:rPr>
          <w:rStyle w:val="19"/>
          <w:rFonts w:hint="eastAsia" w:ascii="仿宋_GB2312" w:hAnsi="仿宋" w:eastAsia="仿宋_GB2312"/>
          <w:b w:val="0"/>
          <w:spacing w:val="-4"/>
          <w:sz w:val="32"/>
          <w:szCs w:val="32"/>
        </w:rPr>
        <w:t>人，实有人数</w:t>
      </w:r>
      <w:r>
        <w:rPr>
          <w:rStyle w:val="19"/>
          <w:rFonts w:ascii="仿宋_GB2312" w:hAnsi="仿宋" w:eastAsia="仿宋_GB2312"/>
          <w:b w:val="0"/>
          <w:spacing w:val="-4"/>
          <w:sz w:val="32"/>
          <w:szCs w:val="32"/>
        </w:rPr>
        <w:t>15</w:t>
      </w:r>
      <w:r>
        <w:rPr>
          <w:rStyle w:val="19"/>
          <w:rFonts w:hint="eastAsia" w:ascii="仿宋_GB2312" w:hAnsi="仿宋" w:eastAsia="仿宋_GB2312"/>
          <w:b w:val="0"/>
          <w:spacing w:val="-4"/>
          <w:sz w:val="32"/>
          <w:szCs w:val="32"/>
        </w:rPr>
        <w:t>人，其中：在职</w:t>
      </w:r>
      <w:r>
        <w:rPr>
          <w:rStyle w:val="19"/>
          <w:rFonts w:ascii="仿宋_GB2312" w:hAnsi="仿宋" w:eastAsia="仿宋_GB2312"/>
          <w:b w:val="0"/>
          <w:spacing w:val="-4"/>
          <w:sz w:val="32"/>
          <w:szCs w:val="32"/>
        </w:rPr>
        <w:t>15</w:t>
      </w:r>
      <w:r>
        <w:rPr>
          <w:rStyle w:val="19"/>
          <w:rFonts w:hint="eastAsia" w:ascii="仿宋_GB2312" w:hAnsi="仿宋" w:eastAsia="仿宋_GB2312"/>
          <w:b w:val="0"/>
          <w:spacing w:val="-4"/>
          <w:sz w:val="32"/>
          <w:szCs w:val="32"/>
        </w:rPr>
        <w:t>人，与上年相同；退休</w:t>
      </w:r>
      <w:r>
        <w:rPr>
          <w:rStyle w:val="19"/>
          <w:rFonts w:ascii="仿宋_GB2312" w:hAnsi="仿宋" w:eastAsia="仿宋_GB2312"/>
          <w:b w:val="0"/>
          <w:spacing w:val="-4"/>
          <w:sz w:val="32"/>
          <w:szCs w:val="32"/>
        </w:rPr>
        <w:t>11</w:t>
      </w:r>
      <w:r>
        <w:rPr>
          <w:rStyle w:val="19"/>
          <w:rFonts w:hint="eastAsia" w:ascii="仿宋_GB2312" w:hAnsi="仿宋" w:eastAsia="仿宋_GB2312"/>
          <w:b w:val="0"/>
          <w:spacing w:val="-4"/>
          <w:sz w:val="32"/>
          <w:szCs w:val="32"/>
        </w:rPr>
        <w:t>人，与上年相同；</w:t>
      </w:r>
    </w:p>
    <w:p>
      <w:pPr>
        <w:pStyle w:val="48"/>
        <w:spacing w:line="700" w:lineRule="exact"/>
        <w:ind w:firstLine="105" w:firstLineChars="50"/>
        <w:jc w:val="left"/>
        <w:rPr>
          <w:rFonts w:ascii="仿宋_GB2312" w:eastAsia="仿宋_GB2312"/>
          <w:sz w:val="32"/>
          <w:szCs w:val="32"/>
        </w:rPr>
      </w:pPr>
      <w:r>
        <w:rPr>
          <w:rFonts w:eastAsia="仿宋_GB2312"/>
        </w:rPr>
        <w:t xml:space="preserve">    </w:t>
      </w:r>
      <w:r>
        <w:rPr>
          <w:rFonts w:ascii="仿宋_GB2312" w:eastAsia="仿宋_GB2312"/>
          <w:sz w:val="32"/>
          <w:szCs w:val="32"/>
        </w:rPr>
        <w:t>2019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>19</w:t>
      </w:r>
      <w:r>
        <w:rPr>
          <w:rFonts w:ascii="仿宋_GB2312" w:hAnsi="仿宋_GB2312" w:eastAsia="仿宋_GB2312" w:cs="仿宋_GB2312"/>
          <w:kern w:val="0"/>
          <w:sz w:val="32"/>
          <w:szCs w:val="32"/>
          <w:lang w:val="zh-TW"/>
        </w:rPr>
        <w:t>95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/>
        </w:rPr>
        <w:t>年以前破产关闭企业退休人员生活补助项目</w:t>
      </w:r>
      <w:r>
        <w:rPr>
          <w:rFonts w:hint="eastAsia" w:ascii="仿宋_GB2312" w:eastAsia="仿宋_GB2312"/>
          <w:sz w:val="32"/>
          <w:szCs w:val="32"/>
        </w:rPr>
        <w:t>，在县委、政府的正确领导下，以及上级业务主管部门的具体业务指导下，按照“保基本、广覆盖、有弹性、可持续”的原则，以完善制度、平台保障、宣传发动、规范实施、优化服务为主线，依据喀署发</w:t>
      </w:r>
      <w:r>
        <w:rPr>
          <w:rFonts w:ascii="仿宋_GB2312" w:eastAsia="仿宋_GB2312"/>
          <w:sz w:val="32"/>
          <w:szCs w:val="32"/>
        </w:rPr>
        <w:t>[2001]37</w:t>
      </w:r>
      <w:r>
        <w:rPr>
          <w:rFonts w:hint="eastAsia" w:ascii="仿宋_GB2312" w:eastAsia="仿宋_GB2312"/>
          <w:sz w:val="32"/>
          <w:szCs w:val="32"/>
        </w:rPr>
        <w:t>号《关于印发喀什地区城镇职工大病</w:t>
      </w:r>
      <w:r>
        <w:rPr>
          <w:rFonts w:hint="eastAsia" w:ascii="仿宋_GB2312" w:eastAsia="仿宋_GB2312"/>
          <w:sz w:val="32"/>
          <w:szCs w:val="32"/>
          <w:lang w:eastAsia="zh-CN"/>
        </w:rPr>
        <w:t>医疗</w:t>
      </w:r>
      <w:r>
        <w:rPr>
          <w:rFonts w:hint="eastAsia" w:ascii="仿宋_GB2312" w:eastAsia="仿宋_GB2312"/>
          <w:sz w:val="32"/>
          <w:szCs w:val="32"/>
        </w:rPr>
        <w:t>管理办法等五个文件的通知》，自</w:t>
      </w:r>
      <w:r>
        <w:rPr>
          <w:rFonts w:ascii="仿宋_GB2312" w:eastAsia="仿宋_GB2312"/>
          <w:sz w:val="32"/>
          <w:szCs w:val="32"/>
        </w:rPr>
        <w:t>2014</w:t>
      </w:r>
      <w:r>
        <w:rPr>
          <w:rFonts w:hint="eastAsia" w:ascii="仿宋_GB2312" w:eastAsia="仿宋_GB2312"/>
          <w:sz w:val="32"/>
          <w:szCs w:val="32"/>
        </w:rPr>
        <w:t>年实施以来，</w:t>
      </w:r>
      <w:r>
        <w:rPr>
          <w:rFonts w:ascii="仿宋_GB2312" w:eastAsia="仿宋_GB2312"/>
          <w:sz w:val="32"/>
          <w:szCs w:val="32"/>
        </w:rPr>
        <w:t>2019</w:t>
      </w:r>
      <w:r>
        <w:rPr>
          <w:rFonts w:hint="eastAsia" w:ascii="仿宋_GB2312" w:eastAsia="仿宋_GB2312"/>
          <w:sz w:val="32"/>
          <w:szCs w:val="32"/>
        </w:rPr>
        <w:t>年主要涉及我县</w:t>
      </w:r>
      <w:r>
        <w:rPr>
          <w:rFonts w:ascii="仿宋_GB2312" w:eastAsia="仿宋_GB2312"/>
          <w:sz w:val="32"/>
          <w:szCs w:val="32"/>
        </w:rPr>
        <w:t>157</w:t>
      </w:r>
      <w:r>
        <w:rPr>
          <w:rFonts w:hint="eastAsia" w:ascii="仿宋_GB2312" w:eastAsia="仿宋_GB2312"/>
          <w:sz w:val="32"/>
          <w:szCs w:val="32"/>
        </w:rPr>
        <w:t>名破产企业退休人员生活补助，按政策规定按月实施发放，是切实落实好党的政策，让破产企业退休人员充分享受到社会经济发展成果。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spacing w:val="-4"/>
          <w:sz w:val="32"/>
          <w:szCs w:val="32"/>
        </w:rPr>
        <w:t>（二）项目预算绩效目</w:t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标设定情况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" w:hAnsi="仿宋" w:eastAsia="仿宋"/>
          <w:b/>
          <w:bCs/>
          <w:spacing w:val="-4"/>
          <w:sz w:val="32"/>
          <w:szCs w:val="32"/>
        </w:rPr>
      </w:pPr>
      <w:r>
        <w:rPr>
          <w:rFonts w:ascii="仿宋" w:hAnsi="仿宋" w:eastAsia="仿宋"/>
          <w:b/>
          <w:bCs/>
          <w:spacing w:val="-4"/>
          <w:sz w:val="32"/>
          <w:szCs w:val="32"/>
        </w:rPr>
        <w:t>1</w:t>
      </w:r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、项目预期目标及阶段性目标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通过财政拨付破产企业退休人员生活补助，保障</w:t>
      </w:r>
      <w:r>
        <w:rPr>
          <w:rFonts w:ascii="仿宋_GB2312" w:hAnsi="仿宋" w:eastAsia="仿宋_GB2312"/>
          <w:sz w:val="32"/>
          <w:szCs w:val="32"/>
        </w:rPr>
        <w:t>157</w:t>
      </w:r>
      <w:r>
        <w:rPr>
          <w:rFonts w:hint="eastAsia" w:ascii="仿宋_GB2312" w:hAnsi="仿宋" w:eastAsia="仿宋_GB2312"/>
          <w:sz w:val="32"/>
          <w:szCs w:val="32"/>
        </w:rPr>
        <w:t>名破产企业退休人员基本生活条件，使破产企业退休人员生活水平有所提高。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" w:hAnsi="仿宋" w:eastAsia="仿宋"/>
          <w:b/>
          <w:bCs/>
          <w:spacing w:val="-4"/>
          <w:sz w:val="32"/>
          <w:szCs w:val="32"/>
        </w:rPr>
      </w:pPr>
      <w:r>
        <w:rPr>
          <w:rFonts w:ascii="仿宋" w:hAnsi="仿宋" w:eastAsia="仿宋"/>
          <w:b/>
          <w:bCs/>
          <w:spacing w:val="-4"/>
          <w:sz w:val="32"/>
          <w:szCs w:val="32"/>
        </w:rPr>
        <w:t>2</w:t>
      </w:r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、项目基本性质</w:t>
      </w:r>
    </w:p>
    <w:p>
      <w:pPr>
        <w:pStyle w:val="49"/>
        <w:spacing w:line="560" w:lineRule="exact"/>
        <w:ind w:firstLine="640"/>
        <w:rPr>
          <w:rFonts w:ascii="仿宋_GB2312" w:hAnsi="黑体" w:eastAsia="仿宋_GB2312"/>
          <w:b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该项目为补助资金类项目，不属于立项项目范围</w:t>
      </w:r>
      <w:r>
        <w:rPr>
          <w:rFonts w:hint="eastAsia" w:ascii="仿宋_GB2312" w:hAnsi="黑体" w:eastAsia="仿宋_GB2312"/>
          <w:b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" w:hAnsi="仿宋" w:eastAsia="仿宋"/>
          <w:b/>
          <w:bCs/>
          <w:spacing w:val="-4"/>
          <w:sz w:val="32"/>
          <w:szCs w:val="32"/>
        </w:rPr>
      </w:pPr>
      <w:r>
        <w:rPr>
          <w:rFonts w:ascii="仿宋" w:hAnsi="仿宋" w:eastAsia="仿宋"/>
          <w:b/>
          <w:bCs/>
          <w:spacing w:val="-4"/>
          <w:sz w:val="32"/>
          <w:szCs w:val="32"/>
        </w:rPr>
        <w:t>3</w:t>
      </w:r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、项目用途及范围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19</w:t>
      </w:r>
      <w:r>
        <w:rPr>
          <w:rFonts w:ascii="仿宋_GB2312" w:hAnsi="仿宋_GB2312" w:eastAsia="仿宋_GB2312" w:cs="仿宋_GB2312"/>
          <w:kern w:val="0"/>
          <w:sz w:val="32"/>
          <w:szCs w:val="32"/>
          <w:lang w:val="zh-TW"/>
        </w:rPr>
        <w:t>95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/>
        </w:rPr>
        <w:t>年以前破产关闭企业退休人员生活补助项目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_GB2312" w:hAnsi="仿宋" w:eastAsia="仿宋_GB2312"/>
          <w:sz w:val="32"/>
          <w:szCs w:val="32"/>
        </w:rPr>
        <w:t>用于保障</w:t>
      </w:r>
      <w:r>
        <w:rPr>
          <w:rFonts w:ascii="仿宋_GB2312" w:hAnsi="仿宋" w:eastAsia="仿宋_GB2312"/>
          <w:sz w:val="32"/>
          <w:szCs w:val="32"/>
        </w:rPr>
        <w:t>157</w:t>
      </w:r>
      <w:r>
        <w:rPr>
          <w:rFonts w:hint="eastAsia" w:ascii="仿宋_GB2312" w:hAnsi="仿宋" w:eastAsia="仿宋_GB2312"/>
          <w:sz w:val="32"/>
          <w:szCs w:val="32"/>
        </w:rPr>
        <w:t>名破产企业退休人员基本生活条件，使破产企业退休人员生活水平有所提高。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bCs/>
          <w:sz w:val="32"/>
          <w:szCs w:val="32"/>
        </w:rPr>
      </w:pPr>
      <w:r>
        <w:rPr>
          <w:rFonts w:ascii="仿宋_GB2312" w:hAnsi="仿宋" w:eastAsia="仿宋_GB2312"/>
          <w:bCs/>
          <w:sz w:val="32"/>
          <w:szCs w:val="32"/>
        </w:rPr>
        <w:t>1</w:t>
      </w:r>
      <w:r>
        <w:rPr>
          <w:rFonts w:hint="eastAsia" w:ascii="仿宋_GB2312" w:hAnsi="仿宋" w:eastAsia="仿宋_GB2312"/>
          <w:bCs/>
          <w:sz w:val="32"/>
          <w:szCs w:val="32"/>
        </w:rPr>
        <w:t>、项目预算安排情况</w:t>
      </w:r>
      <w:r>
        <w:rPr>
          <w:rFonts w:ascii="仿宋_GB2312" w:hAnsi="仿宋" w:eastAsia="仿宋_GB2312"/>
          <w:bCs/>
          <w:sz w:val="32"/>
          <w:szCs w:val="32"/>
        </w:rPr>
        <w:t>: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sz w:val="32"/>
          <w:szCs w:val="32"/>
        </w:rPr>
        <w:t>2019</w:t>
      </w:r>
      <w:r>
        <w:rPr>
          <w:rFonts w:hint="eastAsia" w:ascii="仿宋_GB2312" w:hAnsi="仿宋" w:eastAsia="仿宋_GB2312"/>
          <w:sz w:val="32"/>
          <w:szCs w:val="32"/>
        </w:rPr>
        <w:t>年根据上年资金支出情况，安排破产企业退休人员生活补助资金</w:t>
      </w:r>
      <w:r>
        <w:rPr>
          <w:rFonts w:ascii="仿宋_GB2312" w:hAnsi="仿宋" w:eastAsia="仿宋_GB2312"/>
          <w:sz w:val="32"/>
          <w:szCs w:val="32"/>
        </w:rPr>
        <w:t>15.01</w:t>
      </w:r>
      <w:r>
        <w:rPr>
          <w:rFonts w:hint="eastAsia" w:ascii="仿宋_GB2312" w:hAnsi="仿宋" w:eastAsia="仿宋_GB2312"/>
          <w:sz w:val="32"/>
          <w:szCs w:val="32"/>
        </w:rPr>
        <w:t>万元，到位</w:t>
      </w:r>
      <w:r>
        <w:rPr>
          <w:rFonts w:ascii="仿宋_GB2312" w:hAnsi="仿宋" w:eastAsia="仿宋_GB2312"/>
          <w:sz w:val="32"/>
          <w:szCs w:val="32"/>
        </w:rPr>
        <w:t>15.01</w:t>
      </w:r>
      <w:r>
        <w:rPr>
          <w:rFonts w:hint="eastAsia" w:ascii="仿宋_GB2312" w:hAnsi="仿宋" w:eastAsia="仿宋_GB2312"/>
          <w:sz w:val="32"/>
          <w:szCs w:val="32"/>
        </w:rPr>
        <w:t>万元。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bCs/>
          <w:sz w:val="32"/>
          <w:szCs w:val="32"/>
        </w:rPr>
        <w:t>2</w:t>
      </w:r>
      <w:r>
        <w:rPr>
          <w:rFonts w:hint="eastAsia" w:ascii="仿宋_GB2312" w:hAnsi="仿宋" w:eastAsia="仿宋_GB2312"/>
          <w:bCs/>
          <w:sz w:val="32"/>
          <w:szCs w:val="32"/>
        </w:rPr>
        <w:t>、项目实际支出情况</w:t>
      </w:r>
      <w:r>
        <w:rPr>
          <w:rFonts w:ascii="仿宋_GB2312" w:hAnsi="仿宋" w:eastAsia="仿宋_GB2312"/>
          <w:bCs/>
          <w:sz w:val="32"/>
          <w:szCs w:val="32"/>
        </w:rPr>
        <w:t>:</w:t>
      </w:r>
      <w:r>
        <w:rPr>
          <w:rFonts w:ascii="仿宋_GB2312" w:hAnsi="仿宋" w:eastAsia="仿宋_GB2312"/>
          <w:sz w:val="32"/>
          <w:szCs w:val="32"/>
        </w:rPr>
        <w:t xml:space="preserve"> 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截至</w:t>
      </w:r>
      <w:r>
        <w:rPr>
          <w:rFonts w:ascii="仿宋_GB2312" w:hAnsi="仿宋" w:eastAsia="仿宋_GB2312"/>
          <w:sz w:val="32"/>
          <w:szCs w:val="32"/>
        </w:rPr>
        <w:t>12</w:t>
      </w:r>
      <w:r>
        <w:rPr>
          <w:rFonts w:hint="eastAsia" w:ascii="仿宋_GB2312" w:hAnsi="仿宋" w:eastAsia="仿宋_GB2312"/>
          <w:sz w:val="32"/>
          <w:szCs w:val="32"/>
        </w:rPr>
        <w:t>月底</w:t>
      </w:r>
      <w:r>
        <w:rPr>
          <w:rFonts w:ascii="仿宋_GB2312" w:eastAsia="仿宋_GB2312"/>
          <w:sz w:val="32"/>
          <w:szCs w:val="32"/>
        </w:rPr>
        <w:t>19</w:t>
      </w:r>
      <w:r>
        <w:rPr>
          <w:rFonts w:ascii="仿宋_GB2312" w:hAnsi="仿宋_GB2312" w:eastAsia="仿宋_GB2312" w:cs="仿宋_GB2312"/>
          <w:kern w:val="0"/>
          <w:sz w:val="32"/>
          <w:szCs w:val="32"/>
          <w:lang w:val="zh-TW"/>
        </w:rPr>
        <w:t>95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/>
        </w:rPr>
        <w:t>年以前破产关闭企业退休人员生活补助项目基金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_GB2312" w:hAnsi="仿宋" w:eastAsia="仿宋_GB2312"/>
          <w:sz w:val="32"/>
          <w:szCs w:val="32"/>
        </w:rPr>
        <w:t>实际支出</w:t>
      </w:r>
      <w:r>
        <w:rPr>
          <w:rFonts w:ascii="仿宋_GB2312" w:hAnsi="仿宋" w:eastAsia="仿宋_GB2312"/>
          <w:sz w:val="32"/>
          <w:szCs w:val="32"/>
        </w:rPr>
        <w:t>13.15</w:t>
      </w:r>
      <w:r>
        <w:rPr>
          <w:rFonts w:hint="eastAsia" w:ascii="仿宋_GB2312" w:hAnsi="仿宋" w:eastAsia="仿宋_GB2312"/>
          <w:sz w:val="32"/>
          <w:szCs w:val="32"/>
        </w:rPr>
        <w:t>万元，余额</w:t>
      </w:r>
      <w:r>
        <w:rPr>
          <w:rFonts w:ascii="仿宋_GB2312" w:hAnsi="仿宋" w:eastAsia="仿宋_GB2312"/>
          <w:sz w:val="32"/>
          <w:szCs w:val="32"/>
        </w:rPr>
        <w:t>1.86</w:t>
      </w:r>
      <w:r>
        <w:rPr>
          <w:rFonts w:hint="eastAsia" w:ascii="仿宋_GB2312" w:hAnsi="仿宋" w:eastAsia="仿宋_GB2312"/>
          <w:sz w:val="32"/>
          <w:szCs w:val="32"/>
        </w:rPr>
        <w:t>万元于下年年初发放完毕。保障率</w:t>
      </w:r>
      <w:r>
        <w:rPr>
          <w:rFonts w:ascii="仿宋_GB2312" w:hAnsi="仿宋" w:eastAsia="仿宋_GB2312"/>
          <w:sz w:val="32"/>
          <w:szCs w:val="32"/>
        </w:rPr>
        <w:t>100%</w:t>
      </w:r>
      <w:r>
        <w:rPr>
          <w:rFonts w:hint="eastAsia" w:ascii="仿宋_GB2312" w:hAnsi="仿宋" w:eastAsia="仿宋_GB2312"/>
          <w:sz w:val="32"/>
          <w:szCs w:val="32"/>
        </w:rPr>
        <w:t>。</w:t>
      </w:r>
    </w:p>
    <w:p>
      <w:pPr>
        <w:spacing w:line="560" w:lineRule="exact"/>
        <w:ind w:firstLine="627" w:firstLineChars="20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19</w:t>
      </w:r>
      <w:r>
        <w:rPr>
          <w:rFonts w:ascii="仿宋_GB2312" w:hAnsi="仿宋_GB2312" w:eastAsia="仿宋_GB2312" w:cs="仿宋_GB2312"/>
          <w:kern w:val="0"/>
          <w:sz w:val="32"/>
          <w:szCs w:val="32"/>
          <w:lang w:val="zh-TW"/>
        </w:rPr>
        <w:t>95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/>
        </w:rPr>
        <w:t>年以前破产关闭企业退休人员生活补助项目</w:t>
      </w:r>
      <w:r>
        <w:rPr>
          <w:rFonts w:ascii="仿宋_GB2312" w:hAnsi="仿宋" w:eastAsia="仿宋_GB2312"/>
          <w:sz w:val="32"/>
          <w:szCs w:val="32"/>
        </w:rPr>
        <w:t>2019</w:t>
      </w:r>
      <w:r>
        <w:rPr>
          <w:rFonts w:hint="eastAsia" w:ascii="仿宋_GB2312" w:hAnsi="仿宋" w:eastAsia="仿宋_GB2312"/>
          <w:sz w:val="32"/>
          <w:szCs w:val="32"/>
        </w:rPr>
        <w:t>年我县拨入</w:t>
      </w:r>
      <w:r>
        <w:rPr>
          <w:rFonts w:ascii="仿宋_GB2312" w:hAnsi="仿宋" w:eastAsia="仿宋_GB2312"/>
          <w:sz w:val="32"/>
          <w:szCs w:val="32"/>
        </w:rPr>
        <w:t>15.01</w:t>
      </w:r>
      <w:r>
        <w:rPr>
          <w:rFonts w:hint="eastAsia" w:ascii="仿宋_GB2312" w:hAnsi="仿宋" w:eastAsia="仿宋_GB2312"/>
          <w:sz w:val="32"/>
          <w:szCs w:val="32"/>
        </w:rPr>
        <w:t>万元，截止</w:t>
      </w:r>
      <w:r>
        <w:rPr>
          <w:rFonts w:ascii="仿宋_GB2312" w:hAnsi="仿宋" w:eastAsia="仿宋_GB2312"/>
          <w:sz w:val="32"/>
          <w:szCs w:val="32"/>
        </w:rPr>
        <w:t>12</w:t>
      </w:r>
      <w:r>
        <w:rPr>
          <w:rFonts w:hint="eastAsia" w:ascii="仿宋_GB2312" w:hAnsi="仿宋" w:eastAsia="仿宋_GB2312"/>
          <w:sz w:val="32"/>
          <w:szCs w:val="32"/>
        </w:rPr>
        <w:t>月支出用于破产企业退休人员生活补助</w:t>
      </w:r>
      <w:r>
        <w:rPr>
          <w:rFonts w:ascii="仿宋_GB2312" w:hAnsi="仿宋" w:eastAsia="仿宋_GB2312"/>
          <w:sz w:val="32"/>
          <w:szCs w:val="32"/>
        </w:rPr>
        <w:t>13.15</w:t>
      </w:r>
      <w:r>
        <w:rPr>
          <w:rFonts w:hint="eastAsia" w:ascii="仿宋_GB2312" w:hAnsi="仿宋" w:eastAsia="仿宋_GB2312"/>
          <w:sz w:val="32"/>
          <w:szCs w:val="32"/>
        </w:rPr>
        <w:t>万元，保障率</w:t>
      </w:r>
      <w:r>
        <w:rPr>
          <w:rFonts w:ascii="仿宋_GB2312" w:hAnsi="仿宋" w:eastAsia="仿宋_GB2312"/>
          <w:sz w:val="32"/>
          <w:szCs w:val="32"/>
        </w:rPr>
        <w:t>100%</w:t>
      </w:r>
      <w:r>
        <w:rPr>
          <w:rFonts w:hint="eastAsia" w:ascii="仿宋_GB2312" w:hAnsi="仿宋" w:eastAsia="仿宋_GB2312"/>
          <w:sz w:val="32"/>
          <w:szCs w:val="32"/>
        </w:rPr>
        <w:t>。用于保障</w:t>
      </w:r>
      <w:r>
        <w:rPr>
          <w:rFonts w:ascii="仿宋_GB2312" w:hAnsi="仿宋" w:eastAsia="仿宋_GB2312"/>
          <w:sz w:val="32"/>
          <w:szCs w:val="32"/>
        </w:rPr>
        <w:t>157</w:t>
      </w:r>
      <w:r>
        <w:rPr>
          <w:rFonts w:hint="eastAsia" w:ascii="仿宋_GB2312" w:hAnsi="仿宋" w:eastAsia="仿宋_GB2312"/>
          <w:sz w:val="32"/>
          <w:szCs w:val="32"/>
        </w:rPr>
        <w:t>名破产企业退休人员基本生活条件，使破产企业退休人员生活水平有所提高。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19</w:t>
      </w:r>
      <w:r>
        <w:rPr>
          <w:rFonts w:ascii="仿宋_GB2312" w:hAnsi="仿宋_GB2312" w:eastAsia="仿宋_GB2312" w:cs="仿宋_GB2312"/>
          <w:kern w:val="0"/>
          <w:sz w:val="32"/>
          <w:szCs w:val="32"/>
          <w:lang w:val="zh-TW"/>
        </w:rPr>
        <w:t>95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/>
        </w:rPr>
        <w:t>年以前破产关闭企业退休人员生活补助项目</w:t>
      </w:r>
      <w:r>
        <w:rPr>
          <w:rFonts w:hint="eastAsia" w:ascii="仿宋_GB2312" w:hAnsi="仿宋" w:eastAsia="仿宋_GB2312"/>
          <w:sz w:val="32"/>
          <w:szCs w:val="32"/>
        </w:rPr>
        <w:t>的管理与运行，严格按照《社会保险基金财务制度》、《社会保险基金会计制度》进行会计核算，完善内部各项财务管理制度，建立了良好的财务工作秩序，实现了财务工作的规范化、制度化、科学化。完全按照支出户要求管理，分账核算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该项目资金使用时由财政局拨至我局社保基金支出专户中，为确保资金安全，实际划入时，经我局征收业务股室对符合享受条件的业务进行核定、计划，汇总后，经科长复核、领导签字后，划入基金统一收入户中征收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本项目不存在投标情况、调整情况、验收等方面情况。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年初单位就将绩效考核纳入到年底个人考核标准的一项指标，并建立了考核标准及规则制度，具体过程由本单位办公室负责督办，各科室</w:t>
      </w:r>
      <w:r>
        <w:rPr>
          <w:rFonts w:hint="eastAsia" w:ascii="仿宋_GB2312" w:hAnsi="仿宋" w:eastAsia="仿宋_GB2312" w:cs="仿宋"/>
          <w:sz w:val="32"/>
          <w:szCs w:val="32"/>
        </w:rPr>
        <w:t>各岗位互相监督检查等</w:t>
      </w:r>
      <w:r>
        <w:rPr>
          <w:rFonts w:hint="eastAsia" w:ascii="仿宋_GB2312" w:hAnsi="仿宋" w:eastAsia="仿宋_GB2312"/>
          <w:sz w:val="32"/>
          <w:szCs w:val="32"/>
        </w:rPr>
        <w:t>。通过开展绩效自评，从中总结出医疗保险业务工作中存在的问题，并加以整改落实，促使医疗支付工作的顺利开展。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9"/>
          <w:rFonts w:ascii="黑体" w:hAnsi="黑体" w:eastAsia="黑体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ascii="楷体" w:hAnsi="楷体" w:eastAsia="楷体"/>
          <w:bCs w:val="0"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实际完成我县破产企业退休人员生活补助财政拨付基金率达到</w:t>
      </w:r>
      <w:r>
        <w:rPr>
          <w:rFonts w:ascii="仿宋_GB2312" w:hAnsi="仿宋" w:eastAsia="仿宋_GB2312"/>
          <w:sz w:val="32"/>
          <w:szCs w:val="32"/>
        </w:rPr>
        <w:t>100%</w:t>
      </w:r>
      <w:r>
        <w:rPr>
          <w:rFonts w:hint="eastAsia" w:ascii="仿宋_GB2312" w:hAnsi="仿宋" w:eastAsia="仿宋_GB2312"/>
          <w:sz w:val="32"/>
          <w:szCs w:val="32"/>
        </w:rPr>
        <w:t>，实现按时足额、拨付待遇资金，做到应保尽保，使</w:t>
      </w:r>
      <w:r>
        <w:rPr>
          <w:rFonts w:ascii="仿宋_GB2312" w:hAnsi="仿宋" w:eastAsia="仿宋_GB2312"/>
          <w:sz w:val="32"/>
          <w:szCs w:val="32"/>
        </w:rPr>
        <w:t>157</w:t>
      </w:r>
      <w:r>
        <w:rPr>
          <w:rFonts w:hint="eastAsia" w:ascii="仿宋_GB2312" w:hAnsi="仿宋" w:eastAsia="仿宋_GB2312"/>
          <w:sz w:val="32"/>
          <w:szCs w:val="32"/>
        </w:rPr>
        <w:t>名破产企业退休人员基本生活条件进一步改善，生活水平明显提高。为我县经济发展，维护社会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和谐</w:t>
      </w:r>
      <w:bookmarkStart w:id="0" w:name="_GoBack"/>
      <w:bookmarkEnd w:id="0"/>
      <w:r>
        <w:rPr>
          <w:rFonts w:hint="eastAsia" w:ascii="仿宋_GB2312" w:hAnsi="仿宋" w:eastAsia="仿宋_GB2312"/>
          <w:sz w:val="32"/>
          <w:szCs w:val="32"/>
        </w:rPr>
        <w:t>提供有力保障。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_GB2312" w:hAnsi="仿宋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仿宋" w:eastAsia="仿宋_GB2312"/>
          <w:b w:val="0"/>
          <w:bCs w:val="0"/>
          <w:spacing w:val="-4"/>
          <w:sz w:val="32"/>
          <w:szCs w:val="32"/>
        </w:rPr>
        <w:t>经济性：项目成本控制情况完成良好。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_GB2312" w:hAnsi="仿宋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仿宋" w:eastAsia="仿宋_GB2312"/>
          <w:b w:val="0"/>
          <w:bCs w:val="0"/>
          <w:spacing w:val="-4"/>
          <w:sz w:val="32"/>
          <w:szCs w:val="32"/>
        </w:rPr>
        <w:t>效率性：确保养老保险待遇按月发放率</w:t>
      </w:r>
      <w:r>
        <w:rPr>
          <w:rStyle w:val="19"/>
          <w:rFonts w:ascii="仿宋_GB2312" w:hAnsi="仿宋" w:eastAsia="仿宋_GB2312"/>
          <w:b w:val="0"/>
          <w:bCs w:val="0"/>
          <w:spacing w:val="-4"/>
          <w:sz w:val="32"/>
          <w:szCs w:val="32"/>
        </w:rPr>
        <w:t>100%</w:t>
      </w:r>
      <w:r>
        <w:rPr>
          <w:rStyle w:val="19"/>
          <w:rFonts w:hint="eastAsia" w:ascii="仿宋_GB2312" w:hAnsi="仿宋" w:eastAsia="仿宋_GB2312"/>
          <w:b w:val="0"/>
          <w:bCs w:val="0"/>
          <w:spacing w:val="-4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_GB2312" w:hAnsi="仿宋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仿宋" w:eastAsia="仿宋_GB2312"/>
          <w:b w:val="0"/>
          <w:bCs w:val="0"/>
          <w:spacing w:val="-4"/>
          <w:sz w:val="32"/>
          <w:szCs w:val="32"/>
        </w:rPr>
        <w:t>效益性：项目的实施能够提高享受待遇人员经济收入，提高领取待遇人员生活质量，并有效提高</w:t>
      </w:r>
      <w:r>
        <w:rPr>
          <w:rFonts w:ascii="仿宋_GB2312" w:eastAsia="仿宋_GB2312"/>
          <w:sz w:val="32"/>
          <w:szCs w:val="32"/>
        </w:rPr>
        <w:t>19</w:t>
      </w:r>
      <w:r>
        <w:rPr>
          <w:rFonts w:ascii="仿宋_GB2312" w:hAnsi="仿宋_GB2312" w:eastAsia="仿宋_GB2312" w:cs="仿宋_GB2312"/>
          <w:kern w:val="0"/>
          <w:sz w:val="32"/>
          <w:szCs w:val="32"/>
          <w:lang w:val="zh-TW"/>
        </w:rPr>
        <w:t>95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/>
        </w:rPr>
        <w:t>年以前破产关闭企业退休人员</w:t>
      </w:r>
      <w:r>
        <w:rPr>
          <w:rStyle w:val="19"/>
          <w:rFonts w:hint="eastAsia" w:ascii="仿宋_GB2312" w:hAnsi="仿宋" w:eastAsia="仿宋_GB2312"/>
          <w:b w:val="0"/>
          <w:bCs w:val="0"/>
          <w:spacing w:val="-4"/>
          <w:sz w:val="32"/>
          <w:szCs w:val="32"/>
        </w:rPr>
        <w:t>生活质量。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_GB2312" w:hAnsi="仿宋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仿宋" w:eastAsia="仿宋_GB2312"/>
          <w:b w:val="0"/>
          <w:bCs w:val="0"/>
          <w:spacing w:val="-4"/>
          <w:sz w:val="32"/>
          <w:szCs w:val="32"/>
        </w:rPr>
        <w:t>满意度指标，通过调查受益人群满意度达到</w:t>
      </w:r>
      <w:r>
        <w:rPr>
          <w:rStyle w:val="19"/>
          <w:rFonts w:ascii="仿宋_GB2312" w:hAnsi="仿宋" w:eastAsia="仿宋_GB2312"/>
          <w:b w:val="0"/>
          <w:bCs w:val="0"/>
          <w:spacing w:val="-4"/>
          <w:sz w:val="32"/>
          <w:szCs w:val="32"/>
        </w:rPr>
        <w:t>95%</w:t>
      </w:r>
      <w:r>
        <w:rPr>
          <w:rStyle w:val="19"/>
          <w:rFonts w:hint="eastAsia" w:ascii="仿宋_GB2312" w:hAnsi="仿宋" w:eastAsia="仿宋_GB2312"/>
          <w:b w:val="0"/>
          <w:bCs w:val="0"/>
          <w:spacing w:val="-4"/>
          <w:sz w:val="32"/>
          <w:szCs w:val="32"/>
        </w:rPr>
        <w:t>以上。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spacing w:val="-4"/>
          <w:sz w:val="32"/>
          <w:szCs w:val="32"/>
        </w:rPr>
      </w:pPr>
      <w:r>
        <w:rPr>
          <w:rFonts w:ascii="仿宋_GB2312" w:hAnsi="仿宋" w:eastAsia="仿宋_GB2312"/>
          <w:spacing w:val="-4"/>
          <w:sz w:val="32"/>
          <w:szCs w:val="32"/>
        </w:rPr>
        <w:t>2019</w:t>
      </w:r>
      <w:r>
        <w:rPr>
          <w:rFonts w:hint="eastAsia" w:ascii="仿宋_GB2312" w:hAnsi="仿宋" w:eastAsia="仿宋_GB2312"/>
          <w:spacing w:val="-4"/>
          <w:sz w:val="32"/>
          <w:szCs w:val="32"/>
        </w:rPr>
        <w:t>年本项目绩效目标全部达成，不存在未完成原因分析。</w:t>
      </w:r>
    </w:p>
    <w:p>
      <w:pPr>
        <w:spacing w:line="540" w:lineRule="exact"/>
        <w:ind w:firstLine="640"/>
        <w:rPr>
          <w:rStyle w:val="19"/>
          <w:rFonts w:ascii="黑体" w:hAnsi="黑体" w:eastAsia="黑体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bCs w:val="0"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无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无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无</w:t>
      </w:r>
      <w:r>
        <w:rPr>
          <w:rFonts w:hint="eastAsia" w:ascii="仿宋_GB2312" w:hAnsi="仿宋" w:eastAsia="仿宋_GB2312"/>
          <w:spacing w:val="-4"/>
          <w:sz w:val="32"/>
          <w:szCs w:val="32"/>
        </w:rPr>
        <w:t>其他说明内容。</w:t>
      </w:r>
    </w:p>
    <w:p>
      <w:pPr>
        <w:spacing w:line="540" w:lineRule="exact"/>
        <w:ind w:firstLine="640"/>
        <w:rPr>
          <w:rStyle w:val="19"/>
          <w:rFonts w:ascii="黑体" w:hAnsi="黑体" w:eastAsia="黑体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bCs w:val="0"/>
          <w:spacing w:val="-4"/>
          <w:sz w:val="32"/>
          <w:szCs w:val="32"/>
        </w:rPr>
        <w:t>六、项目评价工作情况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spacing w:val="-4"/>
          <w:sz w:val="32"/>
          <w:szCs w:val="32"/>
        </w:rPr>
      </w:pPr>
      <w:r>
        <w:rPr>
          <w:rFonts w:hint="eastAsia" w:ascii="仿宋_GB2312" w:hAnsi="仿宋" w:eastAsia="仿宋_GB2312"/>
          <w:spacing w:val="-4"/>
          <w:sz w:val="32"/>
          <w:szCs w:val="32"/>
        </w:rPr>
        <w:t>本次评价通过文件研读、实地调研、数据分析等方式，全面了解此项目资金的使用效率和效果，项目管理过程规范，完成了预期绩效目标等。同时，通过开展自我评价来总结经验和教训，为今后的开展提供参考建议。</w:t>
      </w:r>
    </w:p>
    <w:p>
      <w:pPr>
        <w:spacing w:line="540" w:lineRule="exact"/>
        <w:ind w:firstLine="640"/>
        <w:rPr>
          <w:rStyle w:val="19"/>
          <w:rFonts w:ascii="黑体" w:hAnsi="黑体" w:eastAsia="黑体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bCs w:val="0"/>
          <w:spacing w:val="-4"/>
          <w:sz w:val="32"/>
          <w:szCs w:val="32"/>
        </w:rPr>
        <w:t>七、附表</w:t>
      </w:r>
    </w:p>
    <w:p>
      <w:pPr>
        <w:spacing w:line="540" w:lineRule="exact"/>
        <w:ind w:firstLine="567"/>
        <w:rPr>
          <w:rStyle w:val="19"/>
          <w:rFonts w:ascii="仿宋_GB2312" w:hAnsi="仿宋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仿宋" w:eastAsia="仿宋_GB2312"/>
          <w:b w:val="0"/>
          <w:bCs w:val="0"/>
          <w:spacing w:val="-4"/>
          <w:sz w:val="32"/>
          <w:szCs w:val="32"/>
        </w:rPr>
        <w:t>《自治区财政项目支出绩效自评表》</w:t>
      </w:r>
    </w:p>
    <w:p>
      <w:pPr>
        <w:pStyle w:val="49"/>
        <w:spacing w:line="560" w:lineRule="exact"/>
        <w:ind w:firstLine="4160" w:firstLineChars="1300"/>
        <w:rPr>
          <w:rFonts w:ascii="仿宋_GB2312" w:hAnsi="仿宋" w:eastAsia="仿宋_GB2312"/>
          <w:sz w:val="32"/>
          <w:szCs w:val="32"/>
        </w:rPr>
      </w:pPr>
    </w:p>
    <w:p>
      <w:pPr>
        <w:pStyle w:val="49"/>
        <w:spacing w:line="560" w:lineRule="exact"/>
        <w:ind w:firstLine="4160" w:firstLineChars="1300"/>
        <w:rPr>
          <w:rFonts w:ascii="仿宋_GB2312" w:hAnsi="仿宋" w:eastAsia="仿宋_GB2312"/>
          <w:sz w:val="32"/>
          <w:szCs w:val="32"/>
        </w:rPr>
      </w:pPr>
    </w:p>
    <w:p>
      <w:pPr>
        <w:pStyle w:val="49"/>
        <w:spacing w:line="560" w:lineRule="exact"/>
        <w:ind w:firstLine="4160" w:firstLineChars="13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泽普县劳动就业保险管理局</w:t>
      </w:r>
    </w:p>
    <w:p>
      <w:pPr>
        <w:pStyle w:val="49"/>
        <w:spacing w:line="560" w:lineRule="exact"/>
        <w:ind w:firstLine="4800" w:firstLineChars="1500"/>
        <w:rPr>
          <w:rStyle w:val="19"/>
          <w:rFonts w:ascii="仿宋_GB2312" w:hAnsi="仿宋" w:eastAsia="仿宋_GB2312"/>
          <w:b w:val="0"/>
          <w:bCs w:val="0"/>
          <w:sz w:val="32"/>
          <w:szCs w:val="32"/>
        </w:rPr>
      </w:pPr>
      <w:r>
        <w:rPr>
          <w:rFonts w:ascii="仿宋_GB2312" w:hAnsi="仿宋" w:eastAsia="仿宋_GB2312"/>
          <w:sz w:val="32"/>
          <w:szCs w:val="32"/>
        </w:rPr>
        <w:t xml:space="preserve"> 2019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ascii="仿宋_GB2312" w:hAnsi="仿宋" w:eastAsia="仿宋_GB2312"/>
          <w:sz w:val="32"/>
          <w:szCs w:val="32"/>
        </w:rPr>
        <w:t>12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ascii="仿宋_GB2312" w:hAnsi="仿宋" w:eastAsia="仿宋_GB2312"/>
          <w:sz w:val="32"/>
          <w:szCs w:val="32"/>
        </w:rPr>
        <w:t>31</w:t>
      </w:r>
      <w:r>
        <w:rPr>
          <w:rFonts w:hint="eastAsia" w:ascii="仿宋_GB2312" w:hAnsi="仿宋" w:eastAsia="仿宋_GB2312"/>
          <w:sz w:val="32"/>
          <w:szCs w:val="32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华文中宋">
    <w:altName w:val="宋体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Dotu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Arial">
    <w:panose1 w:val="020B0604020202020204"/>
    <w:charset w:val="00"/>
    <w:family w:val="roman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jc w:val="center"/>
    </w:pPr>
  </w:p>
  <w:p>
    <w:pPr>
      <w:pStyle w:val="1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6457"/>
    <w:rsid w:val="00006770"/>
    <w:rsid w:val="00024F57"/>
    <w:rsid w:val="00050D30"/>
    <w:rsid w:val="000706BB"/>
    <w:rsid w:val="00070EC0"/>
    <w:rsid w:val="000C77C5"/>
    <w:rsid w:val="000D48A1"/>
    <w:rsid w:val="00113B46"/>
    <w:rsid w:val="0012208E"/>
    <w:rsid w:val="00135256"/>
    <w:rsid w:val="001544EC"/>
    <w:rsid w:val="00176A0B"/>
    <w:rsid w:val="00194B35"/>
    <w:rsid w:val="001A4E1F"/>
    <w:rsid w:val="001A57B9"/>
    <w:rsid w:val="001C3847"/>
    <w:rsid w:val="001C5152"/>
    <w:rsid w:val="001E5826"/>
    <w:rsid w:val="001E61DE"/>
    <w:rsid w:val="001F3031"/>
    <w:rsid w:val="00210A26"/>
    <w:rsid w:val="00215491"/>
    <w:rsid w:val="00241102"/>
    <w:rsid w:val="002537C6"/>
    <w:rsid w:val="002A2532"/>
    <w:rsid w:val="002A2D76"/>
    <w:rsid w:val="002B6524"/>
    <w:rsid w:val="002D5808"/>
    <w:rsid w:val="002D6A0D"/>
    <w:rsid w:val="002E464F"/>
    <w:rsid w:val="00365250"/>
    <w:rsid w:val="0036624C"/>
    <w:rsid w:val="00372D51"/>
    <w:rsid w:val="00385849"/>
    <w:rsid w:val="003A7B1A"/>
    <w:rsid w:val="003B6AFF"/>
    <w:rsid w:val="004427F4"/>
    <w:rsid w:val="00461EA6"/>
    <w:rsid w:val="00470BAB"/>
    <w:rsid w:val="00482204"/>
    <w:rsid w:val="004F2840"/>
    <w:rsid w:val="0050167F"/>
    <w:rsid w:val="00514506"/>
    <w:rsid w:val="005162F1"/>
    <w:rsid w:val="00516E80"/>
    <w:rsid w:val="00535153"/>
    <w:rsid w:val="00543957"/>
    <w:rsid w:val="00545030"/>
    <w:rsid w:val="00575CFE"/>
    <w:rsid w:val="00583AFC"/>
    <w:rsid w:val="00592D09"/>
    <w:rsid w:val="005B1359"/>
    <w:rsid w:val="005E1182"/>
    <w:rsid w:val="0064534D"/>
    <w:rsid w:val="00675D58"/>
    <w:rsid w:val="00676995"/>
    <w:rsid w:val="00697773"/>
    <w:rsid w:val="006D1CD1"/>
    <w:rsid w:val="006F0DCC"/>
    <w:rsid w:val="006F2E6D"/>
    <w:rsid w:val="007218B8"/>
    <w:rsid w:val="007327CF"/>
    <w:rsid w:val="00736BB9"/>
    <w:rsid w:val="007372B7"/>
    <w:rsid w:val="00745163"/>
    <w:rsid w:val="007465D5"/>
    <w:rsid w:val="00752A59"/>
    <w:rsid w:val="00755C6A"/>
    <w:rsid w:val="00785FDE"/>
    <w:rsid w:val="007A0351"/>
    <w:rsid w:val="007A14BC"/>
    <w:rsid w:val="007A4A7C"/>
    <w:rsid w:val="007B0031"/>
    <w:rsid w:val="007B5DA2"/>
    <w:rsid w:val="007C1025"/>
    <w:rsid w:val="007D0104"/>
    <w:rsid w:val="007E6845"/>
    <w:rsid w:val="007F431F"/>
    <w:rsid w:val="007F5F8A"/>
    <w:rsid w:val="00826CA1"/>
    <w:rsid w:val="008355E6"/>
    <w:rsid w:val="00835B7F"/>
    <w:rsid w:val="00855E3A"/>
    <w:rsid w:val="00863C8B"/>
    <w:rsid w:val="0087499E"/>
    <w:rsid w:val="008952DB"/>
    <w:rsid w:val="008C258B"/>
    <w:rsid w:val="008C3DED"/>
    <w:rsid w:val="008F0663"/>
    <w:rsid w:val="00922CB9"/>
    <w:rsid w:val="009350F7"/>
    <w:rsid w:val="009828B8"/>
    <w:rsid w:val="00985283"/>
    <w:rsid w:val="009867FF"/>
    <w:rsid w:val="009A7442"/>
    <w:rsid w:val="009B526F"/>
    <w:rsid w:val="009C1AFD"/>
    <w:rsid w:val="00A116E6"/>
    <w:rsid w:val="00A26421"/>
    <w:rsid w:val="00A4293B"/>
    <w:rsid w:val="00A63872"/>
    <w:rsid w:val="00A77C9E"/>
    <w:rsid w:val="00A83BD5"/>
    <w:rsid w:val="00A9388F"/>
    <w:rsid w:val="00A977DF"/>
    <w:rsid w:val="00AC1FD8"/>
    <w:rsid w:val="00AC5E33"/>
    <w:rsid w:val="00AC7492"/>
    <w:rsid w:val="00AE6A23"/>
    <w:rsid w:val="00AE72CF"/>
    <w:rsid w:val="00B06CA5"/>
    <w:rsid w:val="00B41F61"/>
    <w:rsid w:val="00B52EA6"/>
    <w:rsid w:val="00B55332"/>
    <w:rsid w:val="00B86E8C"/>
    <w:rsid w:val="00BE1A00"/>
    <w:rsid w:val="00C22CF0"/>
    <w:rsid w:val="00C24BBF"/>
    <w:rsid w:val="00C4640F"/>
    <w:rsid w:val="00C56C72"/>
    <w:rsid w:val="00C57B1E"/>
    <w:rsid w:val="00C74BE7"/>
    <w:rsid w:val="00CA6457"/>
    <w:rsid w:val="00CC6E4D"/>
    <w:rsid w:val="00CF1CBF"/>
    <w:rsid w:val="00D14741"/>
    <w:rsid w:val="00D17F2E"/>
    <w:rsid w:val="00D25E7A"/>
    <w:rsid w:val="00D44C57"/>
    <w:rsid w:val="00D46194"/>
    <w:rsid w:val="00D62431"/>
    <w:rsid w:val="00D63A32"/>
    <w:rsid w:val="00D97B52"/>
    <w:rsid w:val="00DE1923"/>
    <w:rsid w:val="00DF7790"/>
    <w:rsid w:val="00E01293"/>
    <w:rsid w:val="00E027D1"/>
    <w:rsid w:val="00E10B7A"/>
    <w:rsid w:val="00E2118D"/>
    <w:rsid w:val="00E24533"/>
    <w:rsid w:val="00E769FE"/>
    <w:rsid w:val="00E81608"/>
    <w:rsid w:val="00E83CF5"/>
    <w:rsid w:val="00EA2CBE"/>
    <w:rsid w:val="00EA31CF"/>
    <w:rsid w:val="00EE0CB2"/>
    <w:rsid w:val="00F17440"/>
    <w:rsid w:val="00F32FEE"/>
    <w:rsid w:val="00F53E69"/>
    <w:rsid w:val="00F847F1"/>
    <w:rsid w:val="00FE3E3E"/>
    <w:rsid w:val="64376C4D"/>
    <w:rsid w:val="6EAB5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99" w:semiHidden="0" w:name="Title"/>
    <w:lsdException w:uiPriority="99" w:name="Closing" w:locked="1"/>
    <w:lsdException w:uiPriority="99" w:name="Signature" w:locked="1"/>
    <w:lsdException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99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99" w:semiHidden="0" w:name="Strong"/>
    <w:lsdException w:qFormat="1" w:unhideWhenUsed="0" w:uiPriority="99" w:semiHidden="0" w:name="Emphasis"/>
    <w:lsdException w:qFormat="1" w:unhideWhenUsed="0" w:uiPriority="99" w:name="Document Map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unhideWhenUsed="0" w:uiPriority="59" w:semiHidden="0" w:name="Table Grid" w:locked="1"/>
    <w:lsdException w:uiPriority="99" w:name="Table Theme" w:locked="1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qFormat="1" w:unhideWhenUsed="0" w:uiPriority="99" w:semiHidden="0" w:name="Quote"/>
    <w:lsdException w:qFormat="1" w:unhideWhenUsed="0" w:uiPriority="99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9"/>
    <w:pPr>
      <w:keepNext/>
      <w:widowControl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2"/>
    <w:qFormat/>
    <w:uiPriority w:val="99"/>
    <w:pPr>
      <w:keepNext/>
      <w:widowControl/>
      <w:spacing w:before="240" w:after="60"/>
      <w:jc w:val="left"/>
      <w:outlineLvl w:val="1"/>
    </w:pPr>
    <w:rPr>
      <w:rFonts w:ascii="Cambria" w:hAnsi="Cambr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3"/>
    <w:qFormat/>
    <w:uiPriority w:val="99"/>
    <w:pPr>
      <w:keepNext/>
      <w:widowControl/>
      <w:spacing w:before="240" w:after="60"/>
      <w:jc w:val="left"/>
      <w:outlineLvl w:val="2"/>
    </w:pPr>
    <w:rPr>
      <w:rFonts w:ascii="Cambria" w:hAnsi="Cambr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4"/>
    <w:qFormat/>
    <w:uiPriority w:val="99"/>
    <w:pPr>
      <w:keepNext/>
      <w:widowControl/>
      <w:spacing w:before="240" w:after="60"/>
      <w:jc w:val="left"/>
      <w:outlineLvl w:val="3"/>
    </w:pPr>
    <w:rPr>
      <w:rFonts w:ascii="Calibri" w:hAnsi="Calibri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5"/>
    <w:qFormat/>
    <w:uiPriority w:val="99"/>
    <w:pPr>
      <w:widowControl/>
      <w:spacing w:before="240" w:after="60"/>
      <w:jc w:val="left"/>
      <w:outlineLvl w:val="4"/>
    </w:pPr>
    <w:rPr>
      <w:rFonts w:ascii="Calibri" w:hAnsi="Calibri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6"/>
    <w:qFormat/>
    <w:uiPriority w:val="99"/>
    <w:pPr>
      <w:widowControl/>
      <w:spacing w:before="240" w:after="60"/>
      <w:jc w:val="left"/>
      <w:outlineLvl w:val="5"/>
    </w:pPr>
    <w:rPr>
      <w:rFonts w:ascii="Calibri" w:hAnsi="Calibri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7"/>
    <w:qFormat/>
    <w:uiPriority w:val="99"/>
    <w:pPr>
      <w:widowControl/>
      <w:spacing w:before="240" w:after="60"/>
      <w:jc w:val="left"/>
      <w:outlineLvl w:val="6"/>
    </w:pPr>
    <w:rPr>
      <w:rFonts w:ascii="Calibri" w:hAnsi="Calibri"/>
      <w:kern w:val="0"/>
      <w:sz w:val="24"/>
    </w:rPr>
  </w:style>
  <w:style w:type="paragraph" w:styleId="9">
    <w:name w:val="heading 8"/>
    <w:basedOn w:val="1"/>
    <w:next w:val="1"/>
    <w:link w:val="28"/>
    <w:qFormat/>
    <w:uiPriority w:val="99"/>
    <w:pPr>
      <w:widowControl/>
      <w:spacing w:before="240" w:after="60"/>
      <w:jc w:val="left"/>
      <w:outlineLvl w:val="7"/>
    </w:pPr>
    <w:rPr>
      <w:rFonts w:ascii="Calibri" w:hAnsi="Calibri"/>
      <w:i/>
      <w:iCs/>
      <w:kern w:val="0"/>
      <w:sz w:val="24"/>
    </w:rPr>
  </w:style>
  <w:style w:type="paragraph" w:styleId="10">
    <w:name w:val="heading 9"/>
    <w:basedOn w:val="1"/>
    <w:next w:val="1"/>
    <w:link w:val="29"/>
    <w:qFormat/>
    <w:uiPriority w:val="99"/>
    <w:pPr>
      <w:widowControl/>
      <w:spacing w:before="240" w:after="60"/>
      <w:jc w:val="left"/>
      <w:outlineLvl w:val="8"/>
    </w:pPr>
    <w:rPr>
      <w:rFonts w:ascii="Cambria" w:hAnsi="Cambria"/>
      <w:kern w:val="0"/>
      <w:sz w:val="22"/>
      <w:szCs w:val="22"/>
    </w:rPr>
  </w:style>
  <w:style w:type="character" w:default="1" w:styleId="18">
    <w:name w:val="Default Paragraph Font"/>
    <w:semiHidden/>
    <w:uiPriority w:val="99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Document Map"/>
    <w:basedOn w:val="1"/>
    <w:link w:val="30"/>
    <w:semiHidden/>
    <w:qFormat/>
    <w:uiPriority w:val="99"/>
    <w:rPr>
      <w:rFonts w:ascii="宋体"/>
      <w:sz w:val="18"/>
      <w:szCs w:val="18"/>
    </w:rPr>
  </w:style>
  <w:style w:type="paragraph" w:styleId="12">
    <w:name w:val="Balloon Text"/>
    <w:basedOn w:val="1"/>
    <w:link w:val="31"/>
    <w:semiHidden/>
    <w:qFormat/>
    <w:uiPriority w:val="99"/>
    <w:rPr>
      <w:sz w:val="18"/>
      <w:szCs w:val="18"/>
    </w:rPr>
  </w:style>
  <w:style w:type="paragraph" w:styleId="13">
    <w:name w:val="footer"/>
    <w:basedOn w:val="1"/>
    <w:link w:val="32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4">
    <w:name w:val="header"/>
    <w:basedOn w:val="1"/>
    <w:link w:val="33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5">
    <w:name w:val="Subtitle"/>
    <w:basedOn w:val="1"/>
    <w:next w:val="1"/>
    <w:link w:val="34"/>
    <w:qFormat/>
    <w:uiPriority w:val="99"/>
    <w:pPr>
      <w:widowControl/>
      <w:spacing w:after="60"/>
      <w:jc w:val="center"/>
      <w:outlineLvl w:val="1"/>
    </w:pPr>
    <w:rPr>
      <w:rFonts w:ascii="Cambria" w:hAnsi="Cambria"/>
      <w:kern w:val="0"/>
      <w:sz w:val="24"/>
    </w:rPr>
  </w:style>
  <w:style w:type="paragraph" w:styleId="16">
    <w:name w:val="Title"/>
    <w:basedOn w:val="1"/>
    <w:next w:val="1"/>
    <w:link w:val="35"/>
    <w:qFormat/>
    <w:uiPriority w:val="99"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styleId="19">
    <w:name w:val="Strong"/>
    <w:basedOn w:val="18"/>
    <w:qFormat/>
    <w:uiPriority w:val="99"/>
    <w:rPr>
      <w:rFonts w:cs="Times New Roman"/>
      <w:b/>
      <w:bCs/>
    </w:rPr>
  </w:style>
  <w:style w:type="character" w:styleId="20">
    <w:name w:val="Emphasis"/>
    <w:basedOn w:val="18"/>
    <w:qFormat/>
    <w:uiPriority w:val="99"/>
    <w:rPr>
      <w:rFonts w:ascii="Calibri" w:hAnsi="Calibri" w:cs="Times New Roman"/>
      <w:b/>
      <w:i/>
      <w:iCs/>
    </w:rPr>
  </w:style>
  <w:style w:type="character" w:customStyle="1" w:styleId="21">
    <w:name w:val="Heading 1 Char"/>
    <w:basedOn w:val="18"/>
    <w:link w:val="2"/>
    <w:locked/>
    <w:uiPriority w:val="99"/>
    <w:rPr>
      <w:rFonts w:ascii="Cambria" w:hAnsi="Cambria" w:eastAsia="宋体" w:cs="Times New Roman"/>
      <w:b/>
      <w:bCs/>
      <w:kern w:val="32"/>
      <w:sz w:val="32"/>
      <w:szCs w:val="32"/>
    </w:rPr>
  </w:style>
  <w:style w:type="character" w:customStyle="1" w:styleId="22">
    <w:name w:val="Heading 2 Char"/>
    <w:basedOn w:val="18"/>
    <w:link w:val="3"/>
    <w:semiHidden/>
    <w:locked/>
    <w:uiPriority w:val="99"/>
    <w:rPr>
      <w:rFonts w:ascii="Cambria" w:hAnsi="Cambria" w:eastAsia="宋体" w:cs="Times New Roman"/>
      <w:b/>
      <w:bCs/>
      <w:i/>
      <w:iCs/>
      <w:sz w:val="28"/>
      <w:szCs w:val="28"/>
    </w:rPr>
  </w:style>
  <w:style w:type="character" w:customStyle="1" w:styleId="23">
    <w:name w:val="Heading 3 Char"/>
    <w:basedOn w:val="18"/>
    <w:link w:val="4"/>
    <w:semiHidden/>
    <w:locked/>
    <w:uiPriority w:val="99"/>
    <w:rPr>
      <w:rFonts w:ascii="Cambria" w:hAnsi="Cambria" w:eastAsia="宋体" w:cs="Times New Roman"/>
      <w:b/>
      <w:bCs/>
      <w:sz w:val="26"/>
      <w:szCs w:val="26"/>
    </w:rPr>
  </w:style>
  <w:style w:type="character" w:customStyle="1" w:styleId="24">
    <w:name w:val="Heading 4 Char"/>
    <w:basedOn w:val="18"/>
    <w:link w:val="5"/>
    <w:semiHidden/>
    <w:locked/>
    <w:uiPriority w:val="99"/>
    <w:rPr>
      <w:rFonts w:cs="Times New Roman"/>
      <w:b/>
      <w:bCs/>
      <w:sz w:val="28"/>
      <w:szCs w:val="28"/>
    </w:rPr>
  </w:style>
  <w:style w:type="character" w:customStyle="1" w:styleId="25">
    <w:name w:val="Heading 5 Char"/>
    <w:basedOn w:val="18"/>
    <w:link w:val="6"/>
    <w:semiHidden/>
    <w:qFormat/>
    <w:locked/>
    <w:uiPriority w:val="99"/>
    <w:rPr>
      <w:rFonts w:cs="Times New Roman"/>
      <w:b/>
      <w:bCs/>
      <w:i/>
      <w:iCs/>
      <w:sz w:val="26"/>
      <w:szCs w:val="26"/>
    </w:rPr>
  </w:style>
  <w:style w:type="character" w:customStyle="1" w:styleId="26">
    <w:name w:val="Heading 6 Char"/>
    <w:basedOn w:val="18"/>
    <w:link w:val="7"/>
    <w:semiHidden/>
    <w:qFormat/>
    <w:locked/>
    <w:uiPriority w:val="99"/>
    <w:rPr>
      <w:rFonts w:cs="Times New Roman"/>
      <w:b/>
      <w:bCs/>
    </w:rPr>
  </w:style>
  <w:style w:type="character" w:customStyle="1" w:styleId="27">
    <w:name w:val="Heading 7 Char"/>
    <w:basedOn w:val="18"/>
    <w:link w:val="8"/>
    <w:semiHidden/>
    <w:locked/>
    <w:uiPriority w:val="99"/>
    <w:rPr>
      <w:rFonts w:cs="Times New Roman"/>
      <w:sz w:val="24"/>
      <w:szCs w:val="24"/>
    </w:rPr>
  </w:style>
  <w:style w:type="character" w:customStyle="1" w:styleId="28">
    <w:name w:val="Heading 8 Char"/>
    <w:basedOn w:val="18"/>
    <w:link w:val="9"/>
    <w:semiHidden/>
    <w:qFormat/>
    <w:locked/>
    <w:uiPriority w:val="99"/>
    <w:rPr>
      <w:rFonts w:cs="Times New Roman"/>
      <w:i/>
      <w:iCs/>
      <w:sz w:val="24"/>
      <w:szCs w:val="24"/>
    </w:rPr>
  </w:style>
  <w:style w:type="character" w:customStyle="1" w:styleId="29">
    <w:name w:val="Heading 9 Char"/>
    <w:basedOn w:val="18"/>
    <w:link w:val="10"/>
    <w:semiHidden/>
    <w:qFormat/>
    <w:locked/>
    <w:uiPriority w:val="99"/>
    <w:rPr>
      <w:rFonts w:ascii="Cambria" w:hAnsi="Cambria" w:eastAsia="宋体" w:cs="Times New Roman"/>
    </w:rPr>
  </w:style>
  <w:style w:type="character" w:customStyle="1" w:styleId="30">
    <w:name w:val="Document Map Char"/>
    <w:basedOn w:val="18"/>
    <w:link w:val="11"/>
    <w:semiHidden/>
    <w:qFormat/>
    <w:locked/>
    <w:uiPriority w:val="99"/>
    <w:rPr>
      <w:rFonts w:ascii="宋体" w:hAnsi="Times New Roman" w:eastAsia="宋体" w:cs="Times New Roman"/>
      <w:kern w:val="2"/>
      <w:sz w:val="18"/>
      <w:szCs w:val="18"/>
    </w:rPr>
  </w:style>
  <w:style w:type="character" w:customStyle="1" w:styleId="31">
    <w:name w:val="Balloon Text Char"/>
    <w:basedOn w:val="18"/>
    <w:link w:val="12"/>
    <w:semiHidden/>
    <w:qFormat/>
    <w:locked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32">
    <w:name w:val="Footer Char"/>
    <w:basedOn w:val="18"/>
    <w:link w:val="13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33">
    <w:name w:val="Header Char"/>
    <w:basedOn w:val="18"/>
    <w:link w:val="14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34">
    <w:name w:val="Subtitle Char"/>
    <w:basedOn w:val="18"/>
    <w:link w:val="15"/>
    <w:locked/>
    <w:uiPriority w:val="99"/>
    <w:rPr>
      <w:rFonts w:ascii="Cambria" w:hAnsi="Cambria" w:eastAsia="宋体" w:cs="Times New Roman"/>
      <w:sz w:val="24"/>
      <w:szCs w:val="24"/>
    </w:rPr>
  </w:style>
  <w:style w:type="character" w:customStyle="1" w:styleId="35">
    <w:name w:val="Title Char"/>
    <w:basedOn w:val="18"/>
    <w:link w:val="16"/>
    <w:qFormat/>
    <w:locked/>
    <w:uiPriority w:val="99"/>
    <w:rPr>
      <w:rFonts w:ascii="Cambria" w:hAnsi="Cambria" w:eastAsia="宋体" w:cs="Times New Roman"/>
      <w:b/>
      <w:bCs/>
      <w:kern w:val="28"/>
      <w:sz w:val="32"/>
      <w:szCs w:val="32"/>
    </w:rPr>
  </w:style>
  <w:style w:type="paragraph" w:styleId="36">
    <w:name w:val="No Spacing"/>
    <w:basedOn w:val="1"/>
    <w:qFormat/>
    <w:uiPriority w:val="99"/>
    <w:pPr>
      <w:widowControl/>
      <w:jc w:val="left"/>
    </w:pPr>
    <w:rPr>
      <w:rFonts w:ascii="Calibri" w:hAnsi="Calibri"/>
      <w:kern w:val="0"/>
      <w:sz w:val="24"/>
      <w:szCs w:val="32"/>
      <w:lang w:eastAsia="en-US"/>
    </w:rPr>
  </w:style>
  <w:style w:type="paragraph" w:styleId="37">
    <w:name w:val="List Paragraph"/>
    <w:basedOn w:val="1"/>
    <w:qFormat/>
    <w:uiPriority w:val="99"/>
    <w:pPr>
      <w:widowControl/>
      <w:ind w:left="720"/>
      <w:contextualSpacing/>
      <w:jc w:val="left"/>
    </w:pPr>
    <w:rPr>
      <w:rFonts w:ascii="Calibri" w:hAnsi="Calibri"/>
      <w:kern w:val="0"/>
      <w:sz w:val="24"/>
      <w:lang w:eastAsia="en-US"/>
    </w:rPr>
  </w:style>
  <w:style w:type="paragraph" w:styleId="38">
    <w:name w:val="Quote"/>
    <w:basedOn w:val="1"/>
    <w:next w:val="1"/>
    <w:link w:val="39"/>
    <w:qFormat/>
    <w:uiPriority w:val="99"/>
    <w:pPr>
      <w:widowControl/>
      <w:jc w:val="left"/>
    </w:pPr>
    <w:rPr>
      <w:rFonts w:ascii="Calibri" w:hAnsi="Calibri"/>
      <w:i/>
      <w:kern w:val="0"/>
      <w:sz w:val="24"/>
    </w:rPr>
  </w:style>
  <w:style w:type="character" w:customStyle="1" w:styleId="39">
    <w:name w:val="Quote Char"/>
    <w:basedOn w:val="18"/>
    <w:link w:val="38"/>
    <w:qFormat/>
    <w:locked/>
    <w:uiPriority w:val="99"/>
    <w:rPr>
      <w:rFonts w:cs="Times New Roman"/>
      <w:i/>
      <w:sz w:val="24"/>
      <w:szCs w:val="24"/>
    </w:rPr>
  </w:style>
  <w:style w:type="paragraph" w:styleId="40">
    <w:name w:val="Intense Quote"/>
    <w:basedOn w:val="1"/>
    <w:next w:val="1"/>
    <w:link w:val="41"/>
    <w:qFormat/>
    <w:uiPriority w:val="99"/>
    <w:pPr>
      <w:widowControl/>
      <w:ind w:left="720" w:right="720"/>
      <w:jc w:val="left"/>
    </w:pPr>
    <w:rPr>
      <w:rFonts w:ascii="Calibri" w:hAnsi="Calibri"/>
      <w:b/>
      <w:i/>
      <w:kern w:val="0"/>
      <w:sz w:val="24"/>
      <w:szCs w:val="22"/>
    </w:rPr>
  </w:style>
  <w:style w:type="character" w:customStyle="1" w:styleId="41">
    <w:name w:val="Intense Quote Char"/>
    <w:basedOn w:val="18"/>
    <w:link w:val="40"/>
    <w:qFormat/>
    <w:locked/>
    <w:uiPriority w:val="99"/>
    <w:rPr>
      <w:rFonts w:cs="Times New Roman"/>
      <w:b/>
      <w:i/>
      <w:sz w:val="24"/>
    </w:rPr>
  </w:style>
  <w:style w:type="character" w:customStyle="1" w:styleId="42">
    <w:name w:val="不明显强调1"/>
    <w:qFormat/>
    <w:uiPriority w:val="99"/>
    <w:rPr>
      <w:i/>
      <w:color w:val="5A5A5A"/>
    </w:rPr>
  </w:style>
  <w:style w:type="character" w:customStyle="1" w:styleId="43">
    <w:name w:val="明显强调1"/>
    <w:basedOn w:val="18"/>
    <w:qFormat/>
    <w:uiPriority w:val="99"/>
    <w:rPr>
      <w:rFonts w:cs="Times New Roman"/>
      <w:b/>
      <w:i/>
      <w:sz w:val="24"/>
      <w:szCs w:val="24"/>
      <w:u w:val="single"/>
    </w:rPr>
  </w:style>
  <w:style w:type="character" w:customStyle="1" w:styleId="44">
    <w:name w:val="不明显参考1"/>
    <w:basedOn w:val="18"/>
    <w:qFormat/>
    <w:uiPriority w:val="99"/>
    <w:rPr>
      <w:rFonts w:cs="Times New Roman"/>
      <w:sz w:val="24"/>
      <w:szCs w:val="24"/>
      <w:u w:val="single"/>
    </w:rPr>
  </w:style>
  <w:style w:type="character" w:customStyle="1" w:styleId="45">
    <w:name w:val="明显参考1"/>
    <w:basedOn w:val="18"/>
    <w:uiPriority w:val="99"/>
    <w:rPr>
      <w:rFonts w:cs="Times New Roman"/>
      <w:b/>
      <w:sz w:val="24"/>
      <w:u w:val="single"/>
    </w:rPr>
  </w:style>
  <w:style w:type="character" w:customStyle="1" w:styleId="46">
    <w:name w:val="书籍标题1"/>
    <w:basedOn w:val="18"/>
    <w:qFormat/>
    <w:uiPriority w:val="99"/>
    <w:rPr>
      <w:rFonts w:ascii="Cambria" w:hAnsi="Cambria" w:eastAsia="宋体" w:cs="Times New Roman"/>
      <w:b/>
      <w:i/>
      <w:sz w:val="24"/>
      <w:szCs w:val="24"/>
    </w:rPr>
  </w:style>
  <w:style w:type="paragraph" w:customStyle="1" w:styleId="47">
    <w:name w:val="TOC 标题1"/>
    <w:basedOn w:val="2"/>
    <w:next w:val="1"/>
    <w:semiHidden/>
    <w:qFormat/>
    <w:uiPriority w:val="99"/>
    <w:pPr>
      <w:outlineLvl w:val="9"/>
    </w:pPr>
    <w:rPr>
      <w:lang w:eastAsia="en-US"/>
    </w:rPr>
  </w:style>
  <w:style w:type="paragraph" w:customStyle="1" w:styleId="48">
    <w:name w:val="正文 A"/>
    <w:qFormat/>
    <w:uiPriority w:val="99"/>
    <w:pPr>
      <w:widowControl w:val="0"/>
      <w:jc w:val="both"/>
    </w:pPr>
    <w:rPr>
      <w:rFonts w:ascii="Arial Unicode MS" w:hAnsi="Arial Unicode MS" w:eastAsia="宋体" w:cs="Arial Unicode MS"/>
      <w:color w:val="000000"/>
      <w:kern w:val="2"/>
      <w:sz w:val="21"/>
      <w:szCs w:val="21"/>
      <w:u w:color="000000"/>
      <w:lang w:val="en-US" w:eastAsia="zh-CN" w:bidi="ar-SA"/>
    </w:rPr>
  </w:style>
  <w:style w:type="paragraph" w:customStyle="1" w:styleId="49">
    <w:name w:val="列出段落1"/>
    <w:basedOn w:val="1"/>
    <w:qFormat/>
    <w:uiPriority w:val="99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6</Pages>
  <Words>316</Words>
  <Characters>1804</Characters>
  <Lines>0</Lines>
  <Paragraphs>0</Paragraphs>
  <TotalTime>387</TotalTime>
  <ScaleCrop>false</ScaleCrop>
  <LinksUpToDate>false</LinksUpToDate>
  <CharactersWithSpaces>0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2018-12-17T10:14:00Z</dcterms:created>
  <dc:creator>赵 恺（预算处）</dc:creator>
  <cp:lastModifiedBy>Administrator</cp:lastModifiedBy>
  <cp:lastPrinted>2018-12-17T10:15:00Z</cp:lastPrinted>
  <dcterms:modified xsi:type="dcterms:W3CDTF">2020-09-29T11:03:18Z</dcterms:modified>
  <cp:revision>70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