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社会福利事业单位项目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泽普县民政局</w:t>
      </w:r>
    </w:p>
    <w:p>
      <w:pPr>
        <w:pStyle w:val="47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ind w:firstLine="720" w:firstLineChars="200"/>
        <w:jc w:val="left"/>
        <w:rPr>
          <w:rFonts w:hAnsi="宋体" w:eastAsia="仿宋_GB2312" w:cs="宋体"/>
          <w:color w:val="auto"/>
          <w:kern w:val="0"/>
          <w:sz w:val="36"/>
          <w:szCs w:val="36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泽普县民政局</w:t>
      </w:r>
    </w:p>
    <w:p>
      <w:pPr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阿米娜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  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  1 月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08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泽普县民政局是县政府主管社会行政事务的职能部门，行政编制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名，工勤编制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名，参照公务员编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名，事业编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名，实有人数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17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名。主要职能包括基层政权，社会救助、救灾救济、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医疗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等职能。承担着为社会上无劳动能力，无生活来源等老人，小孩提供生活照料、特殊教育、医疗、康复、家庭寄样等服务。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_GB2312" w:hAnsi="仿宋_GB2312" w:eastAsia="仿宋_GB2312" w:cs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为全年3396名孤儿与困境生集中收养，实施用途孤儿生活费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en-US" w:eastAsia="zh-CN"/>
        </w:rPr>
        <w:t>8.94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万元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_GB2312" w:hAnsi="仿宋_GB2312" w:eastAsia="仿宋_GB2312" w:cs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本项目性质为廷续项目。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_GB2312" w:hAnsi="仿宋_GB2312" w:eastAsia="仿宋_GB2312" w:cs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孤儿生活费主要用于</w:t>
      </w:r>
      <w:r>
        <w:rPr>
          <w:rFonts w:hint="eastAsia" w:ascii="仿宋_GB2312" w:hAnsi="仿宋_GB2312" w:eastAsia="仿宋_GB2312" w:cs="仿宋_GB2312"/>
          <w:sz w:val="30"/>
          <w:szCs w:val="30"/>
        </w:rPr>
        <w:t>了解每一户孩子情况，解决吃饱穿暖、看病就医、上学就业等生存、教育、发展和心理疏导等方面，范围为我院所有孤残儿童。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仿宋_GB2312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孤儿项目预算安排总额为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en-US" w:eastAsia="zh-CN"/>
        </w:rPr>
        <w:t>8.94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万元，其中财政资金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en-US" w:eastAsia="zh-CN"/>
        </w:rPr>
        <w:t>8.94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  <w:t>全部为上年结转结余资金，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年实际收到预算资金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本项目实际支付资金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万元，预算执行率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%。项目资金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  <w:t>按照地区安排，结余资金两年以上交国库统筹。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单位制定《泽普县民政局财务管理制度》，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仿宋_GB2312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本项目不存在投标情况。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项目实施过程中，不定期对项目进度情况进行督导检查，对检查过程中发现的问题及时督促整改，确保了项目按时保质完成。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仿宋_GB2312" w:hAnsi="仿宋_GB2312" w:eastAsia="仿宋_GB2312" w:cs="仿宋_GB2312"/>
          <w:bCs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本项目共设置一级指标３个，二级指标7个，三级指标10个，其中已完成三级指标10个，指标完成率为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经济性：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本项目实际支付资金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万元，项目资金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  <w:t>按照地区安排，结余资金两年以上交国库统筹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效率性：按月按时发放孤儿生活费，项目补贴发放率为99％。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效益性：逐步提升孤儿生活水平，服务对象满意度90％。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发放孤儿生活费，县儿童福利院集中供养孤残儿童每人每月900元，分散600元，根据儿童生活变动情况，实行动态管理，严格按照程序标准层层落实。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（二）主要经验及做法、存在问题和建议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58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按照乡镇层层逐上报，经乡党委研究，根据城乡的没有爸爸，妈妈的双孤儿</w:t>
      </w:r>
      <w:r>
        <w:rPr>
          <w:rFonts w:hint="eastAsia" w:ascii="仿宋_GB2312" w:hAnsi="仿宋_GB2312" w:eastAsia="仿宋_GB2312" w:cs="仿宋_GB2312"/>
          <w:sz w:val="30"/>
          <w:szCs w:val="30"/>
        </w:rPr>
        <w:t>查找不到生父母的未成年人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接受儿童福利院集中收养。</w:t>
      </w:r>
      <w:r>
        <w:rPr>
          <w:rFonts w:hint="eastAsia" w:ascii="仿宋_GB2312" w:hAnsi="仿宋_GB2312" w:eastAsia="仿宋_GB2312" w:cs="仿宋_GB2312"/>
          <w:sz w:val="30"/>
          <w:szCs w:val="30"/>
        </w:rPr>
        <w:t>根据</w:t>
      </w:r>
      <w:r>
        <w:fldChar w:fldCharType="begin"/>
      </w:r>
      <w:r>
        <w:instrText xml:space="preserve"> HYPERLINK "https://www.baidu.com/s?wd=%E3%80%8A%E5%9B%BD%E5%8A%A1%E9%99%A2%E5%8A%9E%E5%85%AC%E5%8E%85%E5%85%B3%E4%BA%8E%E5%8A%A0%E5%BC%BA%E5%AD%A4%E5%84%BF%E4%BF%9D%E9%9A%9C%E5%B7%A5%E4%BD%9C%E7%9A%84%E6%84%8F%E8%A7%81%E3%80%8B&amp;tn=SE_PcZhidaonwhc_ngpagmjz&amp;rsv_dl=gh_pc_zhidao" \t "https://zhidao.baidu.com/question/_blank" </w:instrText>
      </w:r>
      <w:r>
        <w:fldChar w:fldCharType="separate"/>
      </w:r>
      <w:r>
        <w:rPr>
          <w:rStyle w:val="20"/>
          <w:rFonts w:hint="eastAsia" w:ascii="仿宋_GB2312" w:hAnsi="仿宋_GB2312" w:eastAsia="仿宋_GB2312" w:cs="仿宋_GB2312"/>
          <w:color w:val="auto"/>
          <w:sz w:val="30"/>
          <w:szCs w:val="30"/>
          <w:u w:val="none"/>
        </w:rPr>
        <w:t>《国务院办公厅关于加强孤儿保障工作的意见》</w:t>
      </w:r>
      <w:r>
        <w:rPr>
          <w:rStyle w:val="20"/>
          <w:rFonts w:hint="eastAsia" w:ascii="仿宋_GB2312" w:hAnsi="仿宋_GB2312" w:eastAsia="仿宋_GB2312" w:cs="仿宋_GB2312"/>
          <w:color w:val="auto"/>
          <w:sz w:val="30"/>
          <w:szCs w:val="30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sz w:val="30"/>
          <w:szCs w:val="30"/>
        </w:rPr>
        <w:t>（国办发［2010］54号）文件规定，孤儿生活救助对象指失去父母、查找不到生父母的未成年人。其中：“未成年人”指未满18周岁的公民。如无人抚养由民政部门安排到孤儿院，费用由国家承担；有抚养人的，由民政部门按月发给基本生活费。18岁前接受教育费用由国家承担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3、建议　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无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7" w:firstLineChars="200"/>
        <w:outlineLvl w:val="0"/>
        <w:rPr>
          <w:rFonts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其他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本次评价通过文件研读、实地调研、数据分析等方式，全面了解孤儿生活保障项目资金的使用效率和效果，项目管理过程是否规范，是否完成了预期绩效目标等。同时，通过开展自我评价来总结经验和教训，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本次评价通过文件研读、实地调研、数据分析等方式，全面了解孤儿生活保障项目资金的使用效率和效果，项目管理过程是否规范，是否完成了预期绩效目标等。同时，通过开展自我评价来总结经验和教训，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《项目支出绩效目标自评表》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eastAsia="仿宋" w:asciiTheme="minorEastAsia" w:hAnsiTheme="minorEastAsia"/>
          <w:b w:val="0"/>
          <w:spacing w:val="-4"/>
          <w:sz w:val="20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13CCF0"/>
    <w:multiLevelType w:val="singleLevel"/>
    <w:tmpl w:val="F413CCF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2554EF7"/>
    <w:multiLevelType w:val="singleLevel"/>
    <w:tmpl w:val="12554EF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0E76B1"/>
    <w:rsid w:val="00121AE4"/>
    <w:rsid w:val="00146AAD"/>
    <w:rsid w:val="001B3A40"/>
    <w:rsid w:val="001C45F4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81243"/>
    <w:rsid w:val="009D4501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427B8"/>
    <w:rsid w:val="00E769FE"/>
    <w:rsid w:val="00EA2CBE"/>
    <w:rsid w:val="00F32FEE"/>
    <w:rsid w:val="00F444DA"/>
    <w:rsid w:val="00FB10BB"/>
    <w:rsid w:val="0EC959BD"/>
    <w:rsid w:val="17640F8D"/>
    <w:rsid w:val="1D6D40E1"/>
    <w:rsid w:val="236702FB"/>
    <w:rsid w:val="2BE620D9"/>
    <w:rsid w:val="3EA0115A"/>
    <w:rsid w:val="502E7483"/>
    <w:rsid w:val="69597680"/>
    <w:rsid w:val="77E203F9"/>
    <w:rsid w:val="7E25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styleId="20">
    <w:name w:val="Hyperlink"/>
    <w:basedOn w:val="17"/>
    <w:semiHidden/>
    <w:unhideWhenUsed/>
    <w:qFormat/>
    <w:uiPriority w:val="99"/>
    <w:rPr>
      <w:color w:val="0000FF"/>
      <w:u w:val="single"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7">
    <w:name w:val="正文 A"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48">
    <w:name w:val="font1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312</Words>
  <Characters>1780</Characters>
  <Lines>14</Lines>
  <Paragraphs>4</Paragraphs>
  <TotalTime>1</TotalTime>
  <ScaleCrop>false</ScaleCrop>
  <LinksUpToDate>false</LinksUpToDate>
  <CharactersWithSpaces>2088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</cp:lastModifiedBy>
  <cp:lastPrinted>2018-12-31T10:56:00Z</cp:lastPrinted>
  <dcterms:modified xsi:type="dcterms:W3CDTF">2020-10-14T04:41:07Z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