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46"/>
        <w:pBdr>
          <w:top w:val="none" w:color="auto" w:sz="0" w:space="0"/>
          <w:left w:val="none" w:color="auto" w:sz="0" w:space="0"/>
          <w:bottom w:val="none" w:color="auto" w:sz="0" w:space="0"/>
          <w:right w:val="none" w:color="auto" w:sz="0" w:space="0"/>
        </w:pBd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Fonts w:hint="eastAsia" w:ascii="仿宋_GB2312" w:hAnsi="仿宋_GB2312" w:eastAsia="仿宋_GB2312" w:cs="仿宋_GB2312"/>
          <w:color w:val="auto"/>
          <w:kern w:val="0"/>
          <w:sz w:val="36"/>
          <w:szCs w:val="36"/>
          <w:lang w:val="zh-TW"/>
        </w:rPr>
        <w:t>残疾人两项补贴</w:t>
      </w:r>
      <w:r>
        <w:rPr>
          <w:rFonts w:hint="eastAsia" w:ascii="仿宋_GB2312" w:hAnsi="仿宋_GB2312" w:eastAsia="仿宋_GB2312" w:cs="仿宋_GB2312"/>
          <w:color w:val="auto"/>
          <w:kern w:val="0"/>
          <w:sz w:val="36"/>
          <w:szCs w:val="36"/>
          <w:lang w:val="zh-TW" w:eastAsia="zh-CN"/>
        </w:rPr>
        <w:t>及高龄津贴</w:t>
      </w:r>
      <w:r>
        <w:rPr>
          <w:rFonts w:hint="eastAsia" w:ascii="仿宋_GB2312" w:hAnsi="仿宋_GB2312" w:eastAsia="仿宋_GB2312" w:cs="仿宋_GB2312"/>
          <w:color w:val="auto"/>
          <w:kern w:val="0"/>
          <w:sz w:val="36"/>
          <w:szCs w:val="36"/>
          <w:lang w:val="zh-TW" w:eastAsia="zh-TW"/>
        </w:rPr>
        <w:t>资金项目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ascii="仿宋_GB2312" w:hAnsi="仿宋_GB2312" w:eastAsia="仿宋_GB2312" w:cs="仿宋_GB2312"/>
          <w:kern w:val="0"/>
          <w:sz w:val="36"/>
          <w:szCs w:val="36"/>
          <w:lang w:val="zh-TW"/>
        </w:rPr>
        <w:t>泽普县民政局</w:t>
      </w:r>
    </w:p>
    <w:p>
      <w:pPr>
        <w:pStyle w:val="46"/>
        <w:pBdr>
          <w:top w:val="none" w:color="auto" w:sz="0" w:space="0"/>
          <w:left w:val="none" w:color="auto" w:sz="0" w:space="0"/>
          <w:bottom w:val="none" w:color="auto" w:sz="0" w:space="0"/>
          <w:right w:val="none" w:color="auto" w:sz="0" w:space="0"/>
        </w:pBd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主管部门（公章）：</w:t>
      </w:r>
      <w:r>
        <w:rPr>
          <w:rFonts w:hint="eastAsia" w:ascii="仿宋_GB2312" w:hAnsi="仿宋_GB2312" w:eastAsia="仿宋_GB2312" w:cs="仿宋_GB2312"/>
          <w:color w:val="auto"/>
          <w:kern w:val="0"/>
          <w:sz w:val="36"/>
          <w:szCs w:val="36"/>
          <w:lang w:val="zh-TW"/>
        </w:rPr>
        <w:t>泽普县民政局</w:t>
      </w:r>
    </w:p>
    <w:p>
      <w:pPr>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hint="eastAsia" w:hAnsi="宋体" w:eastAsia="仿宋_GB2312" w:cs="宋体"/>
          <w:kern w:val="0"/>
          <w:sz w:val="36"/>
          <w:szCs w:val="36"/>
        </w:rPr>
        <w:t>项目负责人（签章）：</w:t>
      </w:r>
      <w:r>
        <w:rPr>
          <w:rFonts w:hint="eastAsia" w:ascii="仿宋_GB2312" w:hAnsi="仿宋_GB2312" w:eastAsia="仿宋_GB2312" w:cs="仿宋_GB2312"/>
          <w:kern w:val="0"/>
          <w:sz w:val="36"/>
          <w:szCs w:val="36"/>
          <w:lang w:val="zh-TW" w:eastAsia="zh-CN"/>
        </w:rPr>
        <w:t>艾尼瓦尔</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楷体" w:hAnsi="楷体" w:eastAsia="楷体"/>
          <w:spacing w:val="-4"/>
          <w:sz w:val="32"/>
          <w:szCs w:val="32"/>
        </w:rPr>
      </w:pPr>
      <w:r>
        <w:rPr>
          <w:rStyle w:val="18"/>
          <w:rFonts w:hint="eastAsia" w:ascii="仿宋" w:hAnsi="仿宋" w:eastAsia="仿宋"/>
          <w:b w:val="0"/>
          <w:spacing w:val="-4"/>
          <w:sz w:val="32"/>
          <w:szCs w:val="32"/>
        </w:rPr>
        <w:t>泽普县民政局是县政府主管社会行政事务的职能部门，主要职能包括基层政权，社会救助、救灾救济、</w:t>
      </w:r>
      <w:r>
        <w:rPr>
          <w:rStyle w:val="18"/>
          <w:rFonts w:hint="eastAsia" w:ascii="仿宋" w:hAnsi="仿宋" w:eastAsia="仿宋"/>
          <w:b w:val="0"/>
          <w:spacing w:val="-4"/>
          <w:sz w:val="32"/>
          <w:szCs w:val="32"/>
          <w:lang w:eastAsia="zh-CN"/>
        </w:rPr>
        <w:t>医疗</w:t>
      </w:r>
      <w:r>
        <w:rPr>
          <w:rStyle w:val="18"/>
          <w:rFonts w:hint="eastAsia" w:ascii="仿宋" w:hAnsi="仿宋" w:eastAsia="仿宋"/>
          <w:b w:val="0"/>
          <w:spacing w:val="-4"/>
          <w:sz w:val="32"/>
          <w:szCs w:val="32"/>
        </w:rPr>
        <w:t>等职能。承担着为社会上无劳动能力，无生活来源等老人，小孩提供生活照料、特殊教育、医疗、康复、家庭寄样等服务。行政编制</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名，工勤编制</w:t>
      </w:r>
      <w:r>
        <w:rPr>
          <w:rStyle w:val="18"/>
          <w:rFonts w:ascii="仿宋" w:hAnsi="仿宋" w:eastAsia="仿宋"/>
          <w:b w:val="0"/>
          <w:spacing w:val="-4"/>
          <w:sz w:val="32"/>
          <w:szCs w:val="32"/>
        </w:rPr>
        <w:t>1</w:t>
      </w:r>
      <w:r>
        <w:rPr>
          <w:rStyle w:val="18"/>
          <w:rFonts w:hint="eastAsia" w:ascii="仿宋" w:hAnsi="仿宋" w:eastAsia="仿宋"/>
          <w:b w:val="0"/>
          <w:spacing w:val="-4"/>
          <w:sz w:val="32"/>
          <w:szCs w:val="32"/>
        </w:rPr>
        <w:t>名，参照公务员编</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rPr>
        <w:t>名，事业编</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名，实有人数</w:t>
      </w:r>
      <w:r>
        <w:rPr>
          <w:rStyle w:val="18"/>
          <w:rFonts w:hint="eastAsia" w:ascii="仿宋" w:hAnsi="仿宋" w:eastAsia="仿宋"/>
          <w:b w:val="0"/>
          <w:spacing w:val="-4"/>
          <w:sz w:val="32"/>
          <w:szCs w:val="32"/>
          <w:lang w:val="en-US" w:eastAsia="zh-CN"/>
        </w:rPr>
        <w:t>17</w:t>
      </w:r>
      <w:r>
        <w:rPr>
          <w:rStyle w:val="18"/>
          <w:rFonts w:hint="eastAsia" w:ascii="仿宋" w:hAnsi="仿宋" w:eastAsia="仿宋"/>
          <w:b w:val="0"/>
          <w:spacing w:val="-4"/>
          <w:sz w:val="32"/>
          <w:szCs w:val="32"/>
        </w:rPr>
        <w:t>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截止2018年12月，按照标准、要求顺利执行，发放残疾人两项补贴4800余人次，</w:t>
      </w:r>
      <w:r>
        <w:rPr>
          <w:rFonts w:hint="eastAsia" w:ascii="仿宋" w:hAnsi="仿宋" w:eastAsia="仿宋" w:cs="仿宋"/>
          <w:sz w:val="32"/>
          <w:szCs w:val="32"/>
          <w:lang w:eastAsia="zh-CN"/>
        </w:rPr>
        <w:t>发放高龄补贴</w:t>
      </w:r>
      <w:r>
        <w:rPr>
          <w:rFonts w:hint="eastAsia" w:ascii="仿宋" w:hAnsi="仿宋" w:eastAsia="仿宋" w:cs="仿宋"/>
          <w:sz w:val="32"/>
          <w:szCs w:val="32"/>
          <w:lang w:val="en-US" w:eastAsia="zh-CN"/>
        </w:rPr>
        <w:t>1168余人，</w:t>
      </w:r>
      <w:r>
        <w:rPr>
          <w:rFonts w:hint="eastAsia" w:ascii="仿宋" w:hAnsi="仿宋" w:eastAsia="仿宋" w:cs="仿宋"/>
          <w:sz w:val="32"/>
          <w:szCs w:val="32"/>
        </w:rPr>
        <w:t>落实资金</w:t>
      </w:r>
      <w:r>
        <w:rPr>
          <w:rFonts w:hint="eastAsia" w:ascii="仿宋" w:hAnsi="仿宋" w:eastAsia="仿宋" w:cs="仿宋"/>
          <w:sz w:val="32"/>
          <w:szCs w:val="32"/>
          <w:lang w:eastAsia="zh-CN"/>
        </w:rPr>
        <w:t>648.5</w:t>
      </w:r>
      <w:r>
        <w:rPr>
          <w:rFonts w:hint="eastAsia" w:ascii="仿宋" w:hAnsi="仿宋" w:eastAsia="仿宋" w:cs="仿宋"/>
          <w:sz w:val="32"/>
          <w:szCs w:val="32"/>
        </w:rPr>
        <w:t>万元。以</w:t>
      </w:r>
      <w:r>
        <w:rPr>
          <w:rFonts w:hint="eastAsia" w:ascii="仿宋_GB2312" w:hAnsi="仿宋_GB2312" w:eastAsia="仿宋_GB2312"/>
          <w:sz w:val="32"/>
        </w:rPr>
        <w:t>进一步解决残疾人特殊生活困难和长期护理困难等实际问题，全面落实困难残疾人生活补贴和重度残疾人护理补贴制度，保障残疾人生存发展权益，提高残疾人生活质量，促进社会和谐</w:t>
      </w:r>
      <w:r>
        <w:rPr>
          <w:rFonts w:hint="eastAsia" w:ascii="仿宋_GB2312" w:hAnsi="仿宋_GB2312" w:eastAsia="仿宋_GB2312"/>
          <w:sz w:val="32"/>
          <w:lang w:eastAsia="zh-CN"/>
        </w:rPr>
        <w:t>和谐</w:t>
      </w:r>
      <w:r>
        <w:rPr>
          <w:rFonts w:hint="eastAsia" w:ascii="仿宋_GB2312" w:hAnsi="仿宋_GB2312" w:eastAsia="仿宋_GB2312"/>
          <w:sz w:val="32"/>
        </w:rPr>
        <w:t>以加快推进残疾人小康进程为目标，以残疾人需求为导向，加强残疾人保障制度设计，制定残疾人专项福利政策，逐步完善了残疾人社会保障体系。</w:t>
      </w:r>
      <w:r>
        <w:rPr>
          <w:rFonts w:hint="eastAsia" w:ascii="仿宋" w:hAnsi="仿宋" w:eastAsia="仿宋" w:cs="仿宋"/>
          <w:sz w:val="32"/>
          <w:szCs w:val="32"/>
        </w:rPr>
        <w:t>同时，还要结合当地实际和老年人结构特点，研究出台社会养老服务体系建设相关政策，制定鼓励和扶持社会力量参与养老事业优惠措施，推动补缺型</w:t>
      </w:r>
      <w:r>
        <w:rPr>
          <w:rFonts w:hint="eastAsia" w:ascii="仿宋" w:hAnsi="仿宋" w:eastAsia="仿宋" w:cs="仿宋"/>
          <w:sz w:val="32"/>
          <w:szCs w:val="32"/>
          <w:lang w:eastAsia="zh-CN"/>
        </w:rPr>
        <w:t>80岁以上老人生活</w:t>
      </w:r>
      <w:r>
        <w:rPr>
          <w:rFonts w:hint="eastAsia" w:ascii="仿宋" w:hAnsi="仿宋" w:eastAsia="仿宋" w:cs="仿宋"/>
          <w:sz w:val="32"/>
          <w:szCs w:val="32"/>
        </w:rPr>
        <w:t>向适度普惠型社会福利发展。</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2</w:t>
      </w:r>
      <w:r>
        <w:rPr>
          <w:rFonts w:hint="eastAsia" w:ascii="仿宋" w:hAnsi="仿宋" w:eastAsia="仿宋"/>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spacing w:line="462" w:lineRule="atLeast"/>
        <w:ind w:firstLine="567"/>
        <w:rPr>
          <w:rFonts w:ascii="仿宋" w:hAnsi="仿宋" w:eastAsia="仿宋" w:cs="仿宋"/>
          <w:sz w:val="32"/>
          <w:szCs w:val="32"/>
        </w:rPr>
      </w:pPr>
      <w:r>
        <w:rPr>
          <w:rFonts w:hint="eastAsia" w:ascii="仿宋_GB2312" w:hAnsi="仿宋_GB2312" w:eastAsia="仿宋_GB2312"/>
          <w:sz w:val="32"/>
        </w:rPr>
        <w:t>困难残疾人生活补贴主要补助残疾人因残疾产生的额外生活支出，对象为具有本县常住户籍，持有第二代《中华人民共和国残疾人证》，享受城乡最低生活保障待遇家庭中的残疾人，补贴标准为每人每月80元。重度残疾人护理补贴主要补助残疾人因残疾产生的额外长期照护支出，对象为具有本县常住户籍，持有第二代《中华人民共和国残疾人证》、残疾等级评定为一级、二级的所有重度残疾人，补贴标准为每人每月80元。长期照护是指因残疾产生的特殊护理消费品和照护服务支出持续6个月以上时间。</w:t>
      </w:r>
      <w:r>
        <w:rPr>
          <w:rFonts w:hint="eastAsia" w:ascii="仿宋" w:hAnsi="仿宋" w:eastAsia="仿宋" w:cs="仿宋"/>
          <w:sz w:val="32"/>
          <w:szCs w:val="32"/>
        </w:rPr>
        <w:t>这一制度的建立，对于解决残疾人基本生活问题，提高残疾人生活质量具有重要意义。坚持从实际出发、充分考虑全区经济社会发展水平和高龄老人基本生活需求的原则，使城乡老年人的基本生活得到保障、生活质量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残疾人两项补贴项目预算安排总额为</w:t>
      </w:r>
      <w:r>
        <w:rPr>
          <w:rFonts w:hint="eastAsia" w:ascii="仿宋" w:hAnsi="仿宋" w:eastAsia="仿宋"/>
          <w:bCs/>
          <w:spacing w:val="-4"/>
          <w:sz w:val="32"/>
          <w:szCs w:val="32"/>
          <w:lang w:eastAsia="zh-CN"/>
        </w:rPr>
        <w:t>648.5</w:t>
      </w:r>
      <w:r>
        <w:rPr>
          <w:rFonts w:hint="eastAsia" w:ascii="仿宋" w:hAnsi="仿宋" w:eastAsia="仿宋"/>
          <w:bCs/>
          <w:spacing w:val="-4"/>
          <w:sz w:val="32"/>
          <w:szCs w:val="32"/>
        </w:rPr>
        <w:t>万元，其中财政资金</w:t>
      </w:r>
      <w:r>
        <w:rPr>
          <w:rFonts w:hint="eastAsia" w:ascii="仿宋" w:hAnsi="仿宋" w:eastAsia="仿宋"/>
          <w:bCs/>
          <w:spacing w:val="-4"/>
          <w:sz w:val="32"/>
          <w:szCs w:val="32"/>
          <w:lang w:eastAsia="zh-CN"/>
        </w:rPr>
        <w:t>648.5</w:t>
      </w:r>
      <w:r>
        <w:rPr>
          <w:rFonts w:hint="eastAsia" w:ascii="仿宋" w:hAnsi="仿宋" w:eastAsia="仿宋"/>
          <w:bCs/>
          <w:spacing w:val="-4"/>
          <w:sz w:val="32"/>
          <w:szCs w:val="32"/>
        </w:rPr>
        <w:t>万元，2018年实际收到预算资金</w:t>
      </w:r>
      <w:r>
        <w:rPr>
          <w:rFonts w:hint="eastAsia" w:ascii="仿宋" w:hAnsi="仿宋" w:eastAsia="仿宋"/>
          <w:bCs/>
          <w:spacing w:val="-4"/>
          <w:sz w:val="32"/>
          <w:szCs w:val="32"/>
          <w:lang w:eastAsia="zh-CN"/>
        </w:rPr>
        <w:t>648.5</w:t>
      </w:r>
      <w:r>
        <w:rPr>
          <w:rFonts w:hint="eastAsia" w:ascii="仿宋" w:hAnsi="仿宋" w:eastAsia="仿宋"/>
          <w:bCs/>
          <w:spacing w:val="-4"/>
          <w:sz w:val="32"/>
          <w:szCs w:val="32"/>
        </w:rPr>
        <w:t>万元，</w:t>
      </w:r>
      <w:r>
        <w:rPr>
          <w:rFonts w:hint="eastAsia" w:ascii="仿宋" w:hAnsi="仿宋" w:eastAsia="仿宋" w:cs="仿宋"/>
          <w:sz w:val="32"/>
          <w:szCs w:val="32"/>
        </w:rPr>
        <w:t>该项目工作已如期完成。</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hint="eastAsia" w:ascii="仿宋" w:hAnsi="仿宋" w:eastAsia="仿宋"/>
          <w:bCs/>
          <w:spacing w:val="-4"/>
          <w:sz w:val="32"/>
          <w:szCs w:val="32"/>
          <w:lang w:eastAsia="zh-CN"/>
        </w:rPr>
        <w:t>648.5</w:t>
      </w:r>
      <w:r>
        <w:rPr>
          <w:rFonts w:hint="eastAsia" w:ascii="仿宋" w:hAnsi="仿宋" w:eastAsia="仿宋"/>
          <w:bCs/>
          <w:spacing w:val="-4"/>
          <w:sz w:val="32"/>
          <w:szCs w:val="32"/>
        </w:rPr>
        <w:t>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。项目资金主要用于支付泽普县困难残疾1-12月生活补贴及重度残疾人护理补贴4800人次</w:t>
      </w:r>
      <w:r>
        <w:rPr>
          <w:rFonts w:hint="eastAsia" w:ascii="仿宋" w:hAnsi="仿宋" w:eastAsia="仿宋"/>
          <w:bCs/>
          <w:spacing w:val="-4"/>
          <w:sz w:val="32"/>
          <w:szCs w:val="32"/>
          <w:lang w:eastAsia="zh-CN"/>
        </w:rPr>
        <w:t>、支付</w:t>
      </w:r>
      <w:r>
        <w:rPr>
          <w:rFonts w:hint="eastAsia" w:ascii="仿宋" w:hAnsi="仿宋" w:eastAsia="仿宋"/>
          <w:bCs/>
          <w:spacing w:val="-4"/>
          <w:sz w:val="32"/>
          <w:szCs w:val="32"/>
          <w:lang w:val="en-US" w:eastAsia="zh-CN"/>
        </w:rPr>
        <w:t>1-12月高龄津贴1168余人，</w:t>
      </w:r>
      <w:r>
        <w:rPr>
          <w:rFonts w:hint="eastAsia" w:ascii="仿宋" w:hAnsi="仿宋" w:eastAsia="仿宋"/>
          <w:bCs/>
          <w:spacing w:val="-4"/>
          <w:sz w:val="32"/>
          <w:szCs w:val="32"/>
        </w:rPr>
        <w:t>共计</w:t>
      </w:r>
      <w:r>
        <w:rPr>
          <w:rFonts w:hint="eastAsia" w:ascii="仿宋" w:hAnsi="仿宋" w:eastAsia="仿宋"/>
          <w:bCs/>
          <w:spacing w:val="-4"/>
          <w:sz w:val="32"/>
          <w:szCs w:val="32"/>
          <w:lang w:eastAsia="zh-CN"/>
        </w:rPr>
        <w:t>648.5</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单位制定《泽普县民政局财务管理制度》，项目支出符合泽普县民政局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本项目不存在投标情况。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ascii="仿宋" w:hAnsi="仿宋" w:eastAsia="仿宋"/>
          <w:bCs/>
          <w:spacing w:val="-4"/>
          <w:sz w:val="32"/>
          <w:szCs w:val="32"/>
        </w:rPr>
      </w:pPr>
      <w:r>
        <w:rPr>
          <w:rFonts w:hint="eastAsia" w:ascii="仿宋" w:hAnsi="仿宋" w:eastAsia="仿宋"/>
          <w:bCs/>
          <w:spacing w:val="-4"/>
          <w:sz w:val="32"/>
          <w:szCs w:val="32"/>
        </w:rPr>
        <w:t>项目实施过程中，泽普县民政局建立了《泽普县民政局救助资金管理制度》保障项目的顺利实施。项目的实施遵守相关法律法规和业务管理规定，项目资料齐全并及时归档。已建立《泽普县民政局日常检查监督检查机制》，不定期对项目进度情况进行督导检查，对检查过程中发现的问题及时督促整改，确保了项目按时保质完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12</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lang w:val="en-US" w:eastAsia="zh-CN"/>
        </w:rPr>
        <w:t>12</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经济性：本年度残疾人两项补贴项目成本</w:t>
      </w:r>
      <w:r>
        <w:rPr>
          <w:rStyle w:val="18"/>
          <w:rFonts w:hint="eastAsia" w:ascii="仿宋" w:hAnsi="仿宋" w:eastAsia="仿宋"/>
          <w:b w:val="0"/>
          <w:spacing w:val="-4"/>
          <w:sz w:val="32"/>
          <w:szCs w:val="32"/>
          <w:lang w:eastAsia="zh-CN"/>
        </w:rPr>
        <w:t>648.5</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实际收到预算资金全部用于补贴发放，成本指标完成率100%</w:t>
      </w:r>
      <w:r>
        <w:rPr>
          <w:rStyle w:val="18"/>
          <w:rFonts w:hint="eastAsia" w:ascii="仿宋" w:hAnsi="仿宋" w:eastAsia="仿宋"/>
          <w:b w:val="0"/>
          <w:spacing w:val="-4"/>
          <w:sz w:val="32"/>
          <w:szCs w:val="32"/>
        </w:rPr>
        <w:t>。</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效率性：残疾人两项补贴</w:t>
      </w:r>
      <w:r>
        <w:rPr>
          <w:rStyle w:val="18"/>
          <w:rFonts w:hint="eastAsia" w:ascii="仿宋" w:hAnsi="仿宋" w:eastAsia="仿宋"/>
          <w:b w:val="0"/>
          <w:spacing w:val="-4"/>
          <w:sz w:val="32"/>
          <w:szCs w:val="32"/>
          <w:lang w:eastAsia="zh-CN"/>
        </w:rPr>
        <w:t>、高龄津贴每两月</w:t>
      </w:r>
      <w:r>
        <w:rPr>
          <w:rStyle w:val="18"/>
          <w:rFonts w:hint="eastAsia" w:ascii="仿宋" w:hAnsi="仿宋" w:eastAsia="仿宋"/>
          <w:b w:val="0"/>
          <w:spacing w:val="-4"/>
          <w:sz w:val="32"/>
          <w:szCs w:val="32"/>
        </w:rPr>
        <w:t>发放</w:t>
      </w:r>
      <w:r>
        <w:rPr>
          <w:rStyle w:val="18"/>
          <w:rFonts w:hint="eastAsia" w:ascii="仿宋" w:hAnsi="仿宋" w:eastAsia="仿宋"/>
          <w:b w:val="0"/>
          <w:spacing w:val="-4"/>
          <w:sz w:val="32"/>
          <w:szCs w:val="32"/>
          <w:lang w:eastAsia="zh-CN"/>
        </w:rPr>
        <w:t>一次</w:t>
      </w:r>
      <w:r>
        <w:rPr>
          <w:rStyle w:val="18"/>
          <w:rFonts w:hint="eastAsia" w:ascii="仿宋" w:hAnsi="仿宋" w:eastAsia="仿宋"/>
          <w:b w:val="0"/>
          <w:spacing w:val="-4"/>
          <w:sz w:val="32"/>
          <w:szCs w:val="32"/>
        </w:rPr>
        <w:t>，截止目前已全部按时发放完毕，补助金发放率100%。</w:t>
      </w:r>
    </w:p>
    <w:p>
      <w:pPr>
        <w:spacing w:line="540" w:lineRule="exact"/>
        <w:ind w:firstLine="564" w:firstLineChars="181"/>
        <w:rPr>
          <w:rFonts w:ascii="仿宋" w:hAnsi="仿宋" w:eastAsia="仿宋" w:cs="仿宋"/>
          <w:sz w:val="32"/>
          <w:szCs w:val="32"/>
        </w:rPr>
      </w:pPr>
      <w:r>
        <w:rPr>
          <w:rStyle w:val="18"/>
          <w:rFonts w:hint="eastAsia" w:ascii="仿宋" w:hAnsi="仿宋" w:eastAsia="仿宋"/>
          <w:b w:val="0"/>
          <w:spacing w:val="-4"/>
          <w:sz w:val="32"/>
          <w:szCs w:val="32"/>
        </w:rPr>
        <w:t>效益性：</w:t>
      </w:r>
      <w:r>
        <w:rPr>
          <w:rFonts w:hint="eastAsia" w:ascii="仿宋" w:hAnsi="仿宋" w:eastAsia="仿宋" w:cs="仿宋"/>
          <w:sz w:val="32"/>
          <w:szCs w:val="32"/>
        </w:rPr>
        <w:t>宣传发放残补贴资金项目，营造了良好舆论氛围，提高政策在民众中知晓率，使全社会更加关心、关爱</w:t>
      </w:r>
      <w:r>
        <w:rPr>
          <w:rFonts w:hint="eastAsia" w:ascii="仿宋" w:hAnsi="仿宋" w:eastAsia="仿宋" w:cs="仿宋"/>
          <w:sz w:val="32"/>
          <w:szCs w:val="32"/>
          <w:lang w:eastAsia="zh-CN"/>
        </w:rPr>
        <w:t>老人、</w:t>
      </w:r>
      <w:r>
        <w:rPr>
          <w:rFonts w:hint="eastAsia" w:ascii="仿宋" w:hAnsi="仿宋" w:eastAsia="仿宋" w:cs="仿宋"/>
          <w:sz w:val="32"/>
          <w:szCs w:val="32"/>
        </w:rPr>
        <w:t>残疾人。受助对象满意度达90%。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ascii="仿宋" w:hAnsi="仿宋" w:eastAsia="仿宋"/>
          <w:spacing w:val="-4"/>
          <w:sz w:val="32"/>
          <w:szCs w:val="32"/>
        </w:rPr>
        <w:t>2018</w:t>
      </w:r>
      <w:r>
        <w:rPr>
          <w:rFonts w:hint="eastAsia" w:ascii="仿宋" w:hAnsi="仿宋" w:eastAsia="仿宋"/>
          <w:spacing w:val="-4"/>
          <w:sz w:val="32"/>
          <w:szCs w:val="32"/>
        </w:rPr>
        <w:t>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进一步帮扶</w:t>
      </w:r>
      <w:r>
        <w:rPr>
          <w:rFonts w:hint="eastAsia" w:ascii="仿宋" w:hAnsi="仿宋" w:eastAsia="仿宋"/>
          <w:bCs/>
          <w:spacing w:val="-4"/>
          <w:sz w:val="32"/>
          <w:szCs w:val="32"/>
          <w:lang w:eastAsia="zh-CN"/>
        </w:rPr>
        <w:t>困难</w:t>
      </w:r>
      <w:r>
        <w:rPr>
          <w:rFonts w:hint="eastAsia" w:ascii="仿宋" w:hAnsi="仿宋" w:eastAsia="仿宋"/>
          <w:bCs/>
          <w:spacing w:val="-4"/>
          <w:sz w:val="32"/>
          <w:szCs w:val="32"/>
        </w:rPr>
        <w:t>家庭，为低保户中的残疾人发放生活补贴，为重度残疾人发放护理补贴，</w:t>
      </w:r>
      <w:r>
        <w:rPr>
          <w:rFonts w:hint="eastAsia" w:ascii="仿宋" w:hAnsi="仿宋" w:eastAsia="仿宋"/>
          <w:bCs/>
          <w:spacing w:val="-4"/>
          <w:sz w:val="32"/>
          <w:szCs w:val="32"/>
          <w:lang w:eastAsia="zh-CN"/>
        </w:rPr>
        <w:t>为老人发放高龄津贴</w:t>
      </w:r>
      <w:r>
        <w:rPr>
          <w:rFonts w:hint="eastAsia" w:ascii="仿宋" w:hAnsi="仿宋" w:eastAsia="仿宋"/>
          <w:bCs/>
          <w:spacing w:val="-4"/>
          <w:sz w:val="32"/>
          <w:szCs w:val="32"/>
        </w:rPr>
        <w:t>严格筛选，张榜公示，按照标准跟政策层层落实</w:t>
      </w:r>
      <w:r>
        <w:rPr>
          <w:rFonts w:ascii="仿宋" w:hAnsi="仿宋" w:eastAsia="仿宋"/>
          <w:bCs/>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(一)项目实施过程中好的经验总结</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一是始终以习近不新时代中国特色社会主义思想为指导，聚焦新疆</w:t>
      </w:r>
      <w:r>
        <w:rPr>
          <w:rFonts w:hint="eastAsia" w:ascii="仿宋" w:hAnsi="仿宋" w:eastAsia="仿宋" w:cs="仿宋"/>
          <w:sz w:val="32"/>
          <w:szCs w:val="32"/>
          <w:lang w:eastAsia="zh-CN"/>
        </w:rPr>
        <w:t>和谐</w:t>
      </w:r>
      <w:r>
        <w:rPr>
          <w:rFonts w:hint="eastAsia" w:ascii="仿宋" w:hAnsi="仿宋" w:eastAsia="仿宋" w:cs="仿宋"/>
          <w:sz w:val="32"/>
          <w:szCs w:val="32"/>
        </w:rPr>
        <w:t>和长治久安总目标，坚持正确的指导思</w:t>
      </w:r>
      <w:bookmarkStart w:id="0" w:name="_GoBack"/>
      <w:bookmarkEnd w:id="0"/>
      <w:r>
        <w:rPr>
          <w:rFonts w:hint="eastAsia" w:ascii="仿宋" w:hAnsi="仿宋" w:eastAsia="仿宋" w:cs="仿宋"/>
          <w:sz w:val="32"/>
          <w:szCs w:val="32"/>
        </w:rPr>
        <w:t>想是做好工作的重要保障；二是建立健全制度，依法依规，严格执行和落实各项财经纪律，是确保资金取得实效的重要保障；三是加强干部队伍作风建设，持续开展扶贫领域执纪问责，是保证资金安全，切实维护困难群众利益的有效抓手。</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(二)项目实施过程中存的问题及原因分析</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残疾人两项补贴项目</w:t>
      </w:r>
      <w:r>
        <w:rPr>
          <w:rFonts w:hint="eastAsia" w:ascii="仿宋" w:hAnsi="仿宋" w:eastAsia="仿宋" w:cs="仿宋"/>
          <w:sz w:val="32"/>
          <w:szCs w:val="32"/>
          <w:lang w:eastAsia="zh-CN"/>
        </w:rPr>
        <w:t>、高龄津贴</w:t>
      </w:r>
      <w:r>
        <w:rPr>
          <w:rFonts w:hint="eastAsia" w:ascii="仿宋" w:hAnsi="仿宋" w:eastAsia="仿宋" w:cs="仿宋"/>
          <w:sz w:val="32"/>
          <w:szCs w:val="32"/>
        </w:rPr>
        <w:t>已经实施了几年，社会认知度还是蛮高的，它的申报，审批、发放程序日趋成熟。以往的发放是由民政部门发放到乡镇，再由乡镇以现金形式发放到残疾人手中，资金安全未能得到百分之百保证。</w:t>
      </w:r>
    </w:p>
    <w:p>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(三)对下一年度项目实施的改进意见或措施</w:t>
      </w:r>
    </w:p>
    <w:p>
      <w:pPr>
        <w:adjustRightInd w:val="0"/>
        <w:snapToGrid w:val="0"/>
        <w:spacing w:line="5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加强作风建设，确保资金安全。全面贯彻201</w:t>
      </w:r>
      <w:r>
        <w:rPr>
          <w:rFonts w:hint="eastAsia" w:ascii="仿宋" w:hAnsi="仿宋" w:eastAsia="仿宋" w:cs="仿宋"/>
          <w:sz w:val="32"/>
          <w:szCs w:val="32"/>
          <w:lang w:val="en-US" w:eastAsia="zh-CN"/>
        </w:rPr>
        <w:t>9</w:t>
      </w:r>
      <w:r>
        <w:rPr>
          <w:rFonts w:hint="eastAsia" w:ascii="仿宋" w:hAnsi="仿宋" w:eastAsia="仿宋" w:cs="仿宋"/>
          <w:sz w:val="32"/>
          <w:szCs w:val="32"/>
        </w:rPr>
        <w:t>作风建设年各项工作任务，认真履行工作职责，做到每月有计划、有总结、有提高，不断改进工作，精准落实各项社会保障措施，加大监督检查，及时发现问题，解决整改问题。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ascii="楷体" w:hAnsi="楷体" w:eastAsia="楷体"/>
          <w:b/>
          <w:spacing w:val="-4"/>
          <w:sz w:val="32"/>
          <w:szCs w:val="32"/>
        </w:rPr>
      </w:pPr>
      <w:r>
        <w:rPr>
          <w:rFonts w:hint="eastAsia" w:ascii="仿宋" w:hAnsi="仿宋" w:eastAsia="仿宋"/>
          <w:spacing w:val="-4"/>
          <w:sz w:val="32"/>
          <w:szCs w:val="32"/>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社会福利彩票公益金项目资金的使用效率和效果，项目管理过程是否规范，是否完成了预期绩效目标等。同时，通过开展自我评价来总结经验和教训，为我县社会福利彩票公益金项目今后的开展提供参考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eastAsia="仿宋" w:asciiTheme="minorEastAsia" w:hAnsi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C6047"/>
    <w:rsid w:val="0036514A"/>
    <w:rsid w:val="004366A8"/>
    <w:rsid w:val="00502BA7"/>
    <w:rsid w:val="005162F1"/>
    <w:rsid w:val="005253C4"/>
    <w:rsid w:val="00535153"/>
    <w:rsid w:val="00554F82"/>
    <w:rsid w:val="0056390D"/>
    <w:rsid w:val="005719B0"/>
    <w:rsid w:val="005D10D6"/>
    <w:rsid w:val="00607FEF"/>
    <w:rsid w:val="00855E3A"/>
    <w:rsid w:val="008D7630"/>
    <w:rsid w:val="008E6AB3"/>
    <w:rsid w:val="009056CF"/>
    <w:rsid w:val="00922CB9"/>
    <w:rsid w:val="009E5CD9"/>
    <w:rsid w:val="00A26421"/>
    <w:rsid w:val="00A4293B"/>
    <w:rsid w:val="00A50774"/>
    <w:rsid w:val="00A67D50"/>
    <w:rsid w:val="00A8691A"/>
    <w:rsid w:val="00AC1946"/>
    <w:rsid w:val="00B40063"/>
    <w:rsid w:val="00B41F61"/>
    <w:rsid w:val="00BA46E6"/>
    <w:rsid w:val="00C56C72"/>
    <w:rsid w:val="00CA6457"/>
    <w:rsid w:val="00CB2D53"/>
    <w:rsid w:val="00D17F2E"/>
    <w:rsid w:val="00D30354"/>
    <w:rsid w:val="00DF42A0"/>
    <w:rsid w:val="00E769FE"/>
    <w:rsid w:val="00EA2CBE"/>
    <w:rsid w:val="00EF54E9"/>
    <w:rsid w:val="00F32FEE"/>
    <w:rsid w:val="00FB10BB"/>
    <w:rsid w:val="1D514607"/>
    <w:rsid w:val="206C0EE4"/>
    <w:rsid w:val="236702FB"/>
    <w:rsid w:val="300D0697"/>
    <w:rsid w:val="350634A2"/>
    <w:rsid w:val="3E641E19"/>
    <w:rsid w:val="42516C07"/>
    <w:rsid w:val="43A27FE6"/>
    <w:rsid w:val="4D402BA7"/>
    <w:rsid w:val="4EAF32AC"/>
    <w:rsid w:val="7495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354</Words>
  <Characters>2021</Characters>
  <Lines>16</Lines>
  <Paragraphs>4</Paragraphs>
  <TotalTime>4</TotalTime>
  <ScaleCrop>false</ScaleCrop>
  <LinksUpToDate>false</LinksUpToDate>
  <CharactersWithSpaces>2371</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p:lastModifiedBy>
  <cp:lastPrinted>2018-12-31T10:56:00Z</cp:lastPrinted>
  <dcterms:modified xsi:type="dcterms:W3CDTF">2020-10-14T04:23:32Z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