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left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>附件2：</w:t>
      </w: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方正小标宋_GBK" w:hAnsi="华文中宋" w:eastAsia="方正小标宋_GBK" w:cs="宋体"/>
          <w:b/>
          <w:kern w:val="0"/>
          <w:sz w:val="48"/>
          <w:szCs w:val="48"/>
        </w:rPr>
      </w:pPr>
      <w:r>
        <w:rPr>
          <w:rFonts w:hint="eastAsia" w:ascii="方正小标宋_GBK" w:hAnsi="华文中宋" w:eastAsia="方正小标宋_GBK" w:cs="宋体"/>
          <w:b/>
          <w:kern w:val="0"/>
          <w:sz w:val="48"/>
          <w:szCs w:val="48"/>
        </w:rPr>
        <w:t>自治区财政项目支出绩效自评报告</w:t>
      </w: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（201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9</w:t>
      </w:r>
      <w:r>
        <w:rPr>
          <w:rFonts w:hint="eastAsia" w:hAnsi="宋体" w:eastAsia="仿宋_GB2312" w:cs="宋体"/>
          <w:kern w:val="0"/>
          <w:sz w:val="36"/>
          <w:szCs w:val="36"/>
        </w:rPr>
        <w:t>年度）</w:t>
      </w: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ascii="方正小标宋_GBK" w:hAnsi="宋体" w:eastAsia="方正小标宋_GBK" w:cs="宋体"/>
          <w:kern w:val="0"/>
          <w:sz w:val="36"/>
          <w:szCs w:val="36"/>
        </w:rPr>
      </w:pPr>
    </w:p>
    <w:p>
      <w:pPr>
        <w:spacing w:line="540" w:lineRule="exact"/>
        <w:jc w:val="center"/>
        <w:rPr>
          <w:rFonts w:ascii="方正小标宋_GBK" w:hAnsi="宋体" w:eastAsia="方正小标宋_GBK" w:cs="宋体"/>
          <w:kern w:val="0"/>
          <w:sz w:val="36"/>
          <w:szCs w:val="36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rPr>
          <w:rFonts w:hAnsi="宋体" w:eastAsia="仿宋_GB2312" w:cs="宋体"/>
          <w:kern w:val="0"/>
          <w:sz w:val="30"/>
          <w:szCs w:val="30"/>
        </w:rPr>
      </w:pPr>
    </w:p>
    <w:p>
      <w:pPr>
        <w:pStyle w:val="47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700" w:lineRule="exact"/>
        <w:ind w:firstLine="720" w:firstLineChars="200"/>
        <w:jc w:val="left"/>
        <w:rPr>
          <w:rFonts w:hAnsi="宋体" w:eastAsia="仿宋_GB2312" w:cs="宋体"/>
          <w:color w:val="auto"/>
          <w:kern w:val="0"/>
          <w:sz w:val="36"/>
          <w:szCs w:val="36"/>
        </w:rPr>
      </w:pPr>
      <w:r>
        <w:rPr>
          <w:rFonts w:hint="eastAsia" w:hAnsi="宋体" w:eastAsia="仿宋_GB2312" w:cs="宋体"/>
          <w:color w:val="auto"/>
          <w:kern w:val="0"/>
          <w:sz w:val="36"/>
          <w:szCs w:val="36"/>
        </w:rPr>
        <w:t>项目名称</w:t>
      </w:r>
      <w:r>
        <w:rPr>
          <w:rFonts w:hint="eastAsia" w:hAnsi="宋体" w:eastAsia="仿宋_GB2312" w:cs="宋体"/>
          <w:color w:val="auto"/>
          <w:kern w:val="0"/>
          <w:sz w:val="36"/>
          <w:szCs w:val="36"/>
          <w:lang w:val="en-US" w:eastAsia="zh-CN"/>
        </w:rPr>
        <w:t>:</w:t>
      </w:r>
      <w:bookmarkStart w:id="0" w:name="_GoBack"/>
      <w:r>
        <w:rPr>
          <w:rFonts w:hint="eastAsia" w:hAnsi="宋体" w:eastAsia="仿宋_GB2312" w:cs="宋体"/>
          <w:color w:val="auto"/>
          <w:kern w:val="0"/>
          <w:sz w:val="36"/>
          <w:szCs w:val="36"/>
          <w:lang w:val="en-US" w:eastAsia="zh-CN"/>
        </w:rPr>
        <w:t>其他社会保障和就业支出</w:t>
      </w:r>
      <w:r>
        <w:rPr>
          <w:rFonts w:hint="eastAsia" w:ascii="仿宋_GB2312" w:hAnsi="仿宋_GB2312" w:eastAsia="仿宋_GB2312" w:cs="仿宋_GB2312"/>
          <w:color w:val="auto"/>
          <w:kern w:val="0"/>
          <w:sz w:val="36"/>
          <w:szCs w:val="36"/>
          <w:lang w:val="zh-TW"/>
        </w:rPr>
        <w:t>项目</w:t>
      </w:r>
    </w:p>
    <w:bookmarkEnd w:id="0"/>
    <w:p>
      <w:pPr>
        <w:spacing w:line="700" w:lineRule="exact"/>
        <w:jc w:val="left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 xml:space="preserve">    实施单位（公章）：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  <w:lang w:val="zh-TW"/>
        </w:rPr>
        <w:t>泽普县民政局</w:t>
      </w:r>
    </w:p>
    <w:p>
      <w:pPr>
        <w:pStyle w:val="47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700" w:lineRule="exact"/>
        <w:ind w:firstLine="720" w:firstLineChars="200"/>
        <w:jc w:val="left"/>
        <w:rPr>
          <w:rFonts w:hAnsi="宋体" w:eastAsia="仿宋_GB2312" w:cs="宋体"/>
          <w:color w:val="auto"/>
          <w:kern w:val="0"/>
          <w:sz w:val="36"/>
          <w:szCs w:val="36"/>
        </w:rPr>
      </w:pPr>
      <w:r>
        <w:rPr>
          <w:rFonts w:hint="eastAsia" w:hAnsi="宋体" w:eastAsia="仿宋_GB2312" w:cs="宋体"/>
          <w:color w:val="auto"/>
          <w:kern w:val="0"/>
          <w:sz w:val="36"/>
          <w:szCs w:val="36"/>
        </w:rPr>
        <w:t>主管部门（公章）：</w:t>
      </w:r>
      <w:r>
        <w:rPr>
          <w:rFonts w:hint="eastAsia" w:ascii="仿宋_GB2312" w:hAnsi="仿宋_GB2312" w:eastAsia="仿宋_GB2312" w:cs="仿宋_GB2312"/>
          <w:color w:val="auto"/>
          <w:kern w:val="0"/>
          <w:sz w:val="36"/>
          <w:szCs w:val="36"/>
          <w:lang w:val="zh-TW"/>
        </w:rPr>
        <w:t>泽普县民政局</w:t>
      </w:r>
    </w:p>
    <w:p>
      <w:pPr>
        <w:pStyle w:val="47"/>
        <w:spacing w:line="700" w:lineRule="exact"/>
        <w:ind w:firstLine="720" w:firstLineChars="200"/>
        <w:jc w:val="left"/>
        <w:rPr>
          <w:rFonts w:ascii="仿宋_GB2312" w:hAnsi="仿宋_GB2312" w:eastAsia="仿宋_GB2312" w:cs="仿宋_GB2312"/>
          <w:color w:val="auto"/>
          <w:kern w:val="0"/>
          <w:sz w:val="36"/>
          <w:szCs w:val="36"/>
          <w:lang w:val="zh-TW"/>
        </w:rPr>
      </w:pPr>
      <w:r>
        <w:rPr>
          <w:rFonts w:hint="eastAsia" w:hAnsi="宋体" w:eastAsia="仿宋_GB2312" w:cs="宋体"/>
          <w:color w:val="auto"/>
          <w:kern w:val="0"/>
          <w:sz w:val="36"/>
          <w:szCs w:val="36"/>
        </w:rPr>
        <w:t>项目负责人（签章）：</w:t>
      </w:r>
      <w:r>
        <w:rPr>
          <w:rFonts w:hint="eastAsia" w:ascii="仿宋_GB2312" w:hAnsi="仿宋_GB2312" w:eastAsia="仿宋_GB2312" w:cs="仿宋_GB2312"/>
          <w:color w:val="auto"/>
          <w:kern w:val="0"/>
          <w:sz w:val="36"/>
          <w:szCs w:val="36"/>
          <w:lang w:val="zh-TW"/>
        </w:rPr>
        <w:t>荣春艳</w:t>
      </w:r>
    </w:p>
    <w:p>
      <w:pPr>
        <w:pStyle w:val="47"/>
        <w:spacing w:line="700" w:lineRule="exact"/>
        <w:ind w:firstLine="720" w:firstLineChars="200"/>
        <w:jc w:val="left"/>
        <w:rPr>
          <w:rStyle w:val="19"/>
          <w:rFonts w:ascii="黑体" w:hAnsi="黑体" w:eastAsia="黑体"/>
          <w:b w:val="0"/>
          <w:color w:val="auto"/>
          <w:spacing w:val="-4"/>
          <w:sz w:val="32"/>
          <w:szCs w:val="32"/>
        </w:rPr>
      </w:pPr>
      <w:r>
        <w:rPr>
          <w:rFonts w:hint="eastAsia" w:hAnsi="宋体" w:eastAsia="仿宋_GB2312" w:cs="宋体"/>
          <w:color w:val="auto"/>
          <w:kern w:val="0"/>
          <w:sz w:val="36"/>
          <w:szCs w:val="36"/>
        </w:rPr>
        <w:t>填报时间：  201</w:t>
      </w:r>
      <w:r>
        <w:rPr>
          <w:rFonts w:hint="eastAsia" w:hAnsi="宋体" w:eastAsia="仿宋_GB2312" w:cs="宋体"/>
          <w:color w:val="auto"/>
          <w:kern w:val="0"/>
          <w:sz w:val="36"/>
          <w:szCs w:val="36"/>
          <w:lang w:val="en-US" w:eastAsia="zh-CN"/>
        </w:rPr>
        <w:t>9</w:t>
      </w:r>
      <w:r>
        <w:rPr>
          <w:rFonts w:hint="eastAsia" w:hAnsi="宋体" w:eastAsia="仿宋_GB2312" w:cs="宋体"/>
          <w:color w:val="auto"/>
          <w:kern w:val="0"/>
          <w:sz w:val="36"/>
          <w:szCs w:val="36"/>
        </w:rPr>
        <w:t>年</w:t>
      </w:r>
      <w:r>
        <w:rPr>
          <w:rFonts w:hint="eastAsia" w:hAnsi="宋体" w:eastAsia="仿宋_GB2312" w:cs="宋体"/>
          <w:color w:val="auto"/>
          <w:kern w:val="0"/>
          <w:sz w:val="36"/>
          <w:szCs w:val="36"/>
          <w:lang w:val="en-US" w:eastAsia="zh-CN"/>
        </w:rPr>
        <w:t>01</w:t>
      </w:r>
      <w:r>
        <w:rPr>
          <w:rFonts w:hint="eastAsia" w:hAnsi="宋体" w:eastAsia="仿宋_GB2312" w:cs="宋体"/>
          <w:color w:val="auto"/>
          <w:kern w:val="0"/>
          <w:sz w:val="36"/>
          <w:szCs w:val="36"/>
        </w:rPr>
        <w:t>月</w:t>
      </w:r>
      <w:r>
        <w:rPr>
          <w:rFonts w:hint="eastAsia" w:hAnsi="宋体" w:eastAsia="仿宋_GB2312" w:cs="宋体"/>
          <w:color w:val="auto"/>
          <w:kern w:val="0"/>
          <w:sz w:val="36"/>
          <w:szCs w:val="36"/>
          <w:lang w:val="en-US" w:eastAsia="zh-CN"/>
        </w:rPr>
        <w:t>08</w:t>
      </w:r>
      <w:r>
        <w:rPr>
          <w:rFonts w:hint="eastAsia" w:hAnsi="宋体" w:eastAsia="仿宋_GB2312" w:cs="宋体"/>
          <w:color w:val="auto"/>
          <w:kern w:val="0"/>
          <w:sz w:val="36"/>
          <w:szCs w:val="36"/>
        </w:rPr>
        <w:t>日</w:t>
      </w:r>
    </w:p>
    <w:p>
      <w:pPr>
        <w:spacing w:line="540" w:lineRule="exact"/>
        <w:ind w:firstLine="640"/>
        <w:rPr>
          <w:rStyle w:val="19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/>
          <w:b w:val="0"/>
          <w:spacing w:val="-4"/>
          <w:sz w:val="32"/>
          <w:szCs w:val="32"/>
        </w:rPr>
        <w:t>一、项目概况</w:t>
      </w:r>
    </w:p>
    <w:p>
      <w:pPr>
        <w:spacing w:line="540" w:lineRule="exact"/>
        <w:ind w:firstLine="567"/>
        <w:rPr>
          <w:rStyle w:val="19"/>
          <w:rFonts w:ascii="楷体" w:hAnsi="楷体" w:eastAsia="楷体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（一）项目单位基本情况</w:t>
      </w:r>
    </w:p>
    <w:p>
      <w:pPr>
        <w:spacing w:line="462" w:lineRule="atLeast"/>
        <w:ind w:firstLine="567"/>
        <w:rPr>
          <w:rFonts w:ascii="仿宋_GB2312" w:hAnsi="Arial" w:eastAsia="仿宋_GB2312" w:cs="Arial"/>
          <w:sz w:val="32"/>
          <w:szCs w:val="32"/>
        </w:rPr>
      </w:pPr>
      <w:r>
        <w:rPr>
          <w:rFonts w:hint="eastAsia" w:ascii="仿宋_GB2312" w:hAnsi="仿宋_GB2312" w:eastAsia="仿宋_GB2312"/>
          <w:sz w:val="32"/>
        </w:rPr>
        <w:t>民政局是</w:t>
      </w:r>
      <w:r>
        <w:fldChar w:fldCharType="begin"/>
      </w:r>
      <w:r>
        <w:instrText xml:space="preserve"> HYPERLINK "https://baike.so.com/doc/3102520-3270204.html" \t "https://baike.so.com/doc/_blank" </w:instrText>
      </w:r>
      <w:r>
        <w:fldChar w:fldCharType="separate"/>
      </w:r>
      <w:r>
        <w:rPr>
          <w:rFonts w:ascii="仿宋_GB2312" w:hAnsi="仿宋_GB2312" w:eastAsia="仿宋_GB2312"/>
          <w:sz w:val="32"/>
        </w:rPr>
        <w:t>政府</w:t>
      </w:r>
      <w:r>
        <w:rPr>
          <w:rFonts w:ascii="仿宋_GB2312" w:hAnsi="仿宋_GB2312" w:eastAsia="仿宋_GB2312"/>
          <w:sz w:val="32"/>
        </w:rPr>
        <w:fldChar w:fldCharType="end"/>
      </w:r>
      <w:r>
        <w:rPr>
          <w:rFonts w:ascii="仿宋_GB2312" w:hAnsi="仿宋_GB2312" w:eastAsia="仿宋_GB2312"/>
          <w:sz w:val="32"/>
        </w:rPr>
        <w:t>主管社会行政事务的职能部门。履行着"上为政府分忧，下为群众解愁"的重要职能，主管救灾救济、民间组织管理、基层政权建设、城市农村居民最低生活保障、社会福利和社会事务、区划地名等工作。</w:t>
      </w:r>
      <w:r>
        <w:rPr>
          <w:rFonts w:hint="eastAsia" w:ascii="仿宋_GB2312" w:hAnsi="Arial" w:eastAsia="仿宋_GB2312" w:cs="Arial"/>
          <w:sz w:val="32"/>
          <w:szCs w:val="32"/>
        </w:rPr>
        <w:t>根据职责，纳入201</w:t>
      </w:r>
      <w:r>
        <w:rPr>
          <w:rFonts w:hint="eastAsia" w:ascii="仿宋_GB2312" w:hAnsi="Arial" w:eastAsia="仿宋_GB2312" w:cs="Arial"/>
          <w:sz w:val="32"/>
          <w:szCs w:val="32"/>
          <w:lang w:val="en-US" w:eastAsia="zh-CN"/>
        </w:rPr>
        <w:t>9</w:t>
      </w:r>
      <w:r>
        <w:rPr>
          <w:rFonts w:hint="eastAsia" w:ascii="仿宋_GB2312" w:hAnsi="Arial" w:eastAsia="仿宋_GB2312" w:cs="Arial"/>
          <w:sz w:val="32"/>
          <w:szCs w:val="32"/>
        </w:rPr>
        <w:t>年部门绩效评价范围的</w:t>
      </w:r>
      <w:r>
        <w:rPr>
          <w:rFonts w:hint="eastAsia" w:ascii="仿宋_GB2312" w:eastAsia="仿宋_GB2312"/>
          <w:sz w:val="32"/>
          <w:szCs w:val="32"/>
        </w:rPr>
        <w:t>有泽普县民政局、泽普县儿童福利院</w:t>
      </w:r>
      <w:r>
        <w:rPr>
          <w:rFonts w:hint="eastAsia" w:ascii="仿宋_GB2312" w:hAnsi="Arial" w:eastAsia="仿宋_GB2312" w:cs="Arial"/>
          <w:sz w:val="32"/>
          <w:szCs w:val="32"/>
        </w:rPr>
        <w:t>。编制人数</w:t>
      </w:r>
      <w:r>
        <w:rPr>
          <w:rFonts w:hint="eastAsia" w:ascii="仿宋_GB2312" w:hAnsi="Arial" w:eastAsia="仿宋_GB2312" w:cs="Arial"/>
          <w:sz w:val="32"/>
          <w:szCs w:val="32"/>
          <w:lang w:val="en-US" w:eastAsia="zh-CN"/>
        </w:rPr>
        <w:t>16</w:t>
      </w:r>
      <w:r>
        <w:rPr>
          <w:rFonts w:hint="eastAsia" w:ascii="仿宋_GB2312" w:hAnsi="Arial" w:eastAsia="仿宋_GB2312" w:cs="Arial"/>
          <w:sz w:val="32"/>
          <w:szCs w:val="32"/>
        </w:rPr>
        <w:t>人，在职人数</w:t>
      </w:r>
      <w:r>
        <w:rPr>
          <w:rFonts w:hint="eastAsia" w:ascii="仿宋_GB2312" w:hAnsi="Arial" w:eastAsia="仿宋_GB2312" w:cs="Arial"/>
          <w:sz w:val="32"/>
          <w:szCs w:val="32"/>
          <w:lang w:val="en-US" w:eastAsia="zh-CN"/>
        </w:rPr>
        <w:t>17</w:t>
      </w:r>
      <w:r>
        <w:rPr>
          <w:rFonts w:hint="eastAsia" w:ascii="仿宋_GB2312" w:hAnsi="Arial" w:eastAsia="仿宋_GB2312" w:cs="Arial"/>
          <w:sz w:val="32"/>
          <w:szCs w:val="32"/>
        </w:rPr>
        <w:t>人，其中：行政在职</w:t>
      </w:r>
      <w:r>
        <w:rPr>
          <w:rFonts w:hint="eastAsia" w:ascii="仿宋_GB2312" w:hAnsi="Arial" w:eastAsia="仿宋_GB2312" w:cs="Arial"/>
          <w:sz w:val="32"/>
          <w:szCs w:val="32"/>
          <w:lang w:val="en-US" w:eastAsia="zh-CN"/>
        </w:rPr>
        <w:t>6</w:t>
      </w:r>
      <w:r>
        <w:rPr>
          <w:rFonts w:hint="eastAsia" w:ascii="仿宋_GB2312" w:hAnsi="Arial" w:eastAsia="仿宋_GB2312" w:cs="Arial"/>
          <w:sz w:val="32"/>
          <w:szCs w:val="32"/>
        </w:rPr>
        <w:t>人，参照公务员管理的事业单位人员</w:t>
      </w:r>
      <w:r>
        <w:rPr>
          <w:rFonts w:hint="eastAsia" w:ascii="仿宋_GB2312" w:hAnsi="Arial" w:eastAsia="仿宋_GB2312" w:cs="Arial"/>
          <w:sz w:val="32"/>
          <w:szCs w:val="32"/>
          <w:lang w:val="en-US" w:eastAsia="zh-CN"/>
        </w:rPr>
        <w:t>6</w:t>
      </w:r>
      <w:r>
        <w:rPr>
          <w:rFonts w:hint="eastAsia" w:ascii="仿宋_GB2312" w:hAnsi="Arial" w:eastAsia="仿宋_GB2312" w:cs="Arial"/>
          <w:sz w:val="32"/>
          <w:szCs w:val="32"/>
        </w:rPr>
        <w:t>人，事业在职4人，工勤在职人数1人。离退休人员</w:t>
      </w:r>
      <w:r>
        <w:rPr>
          <w:rFonts w:hint="eastAsia" w:ascii="仿宋_GB2312" w:hAnsi="Arial" w:eastAsia="仿宋_GB2312" w:cs="Arial"/>
          <w:sz w:val="32"/>
          <w:szCs w:val="32"/>
          <w:lang w:val="en-US" w:eastAsia="zh-CN"/>
        </w:rPr>
        <w:t>8</w:t>
      </w:r>
      <w:r>
        <w:rPr>
          <w:rFonts w:hint="eastAsia" w:ascii="仿宋_GB2312" w:hAnsi="Arial" w:eastAsia="仿宋_GB2312" w:cs="Arial"/>
          <w:sz w:val="32"/>
          <w:szCs w:val="32"/>
        </w:rPr>
        <w:t>人，其中：离休人员0人，退休人员</w:t>
      </w:r>
      <w:r>
        <w:rPr>
          <w:rFonts w:hint="eastAsia" w:ascii="仿宋_GB2312" w:hAnsi="Arial" w:eastAsia="仿宋_GB2312" w:cs="Arial"/>
          <w:sz w:val="32"/>
          <w:szCs w:val="32"/>
          <w:lang w:val="en-US" w:eastAsia="zh-CN"/>
        </w:rPr>
        <w:t>8</w:t>
      </w:r>
      <w:r>
        <w:rPr>
          <w:rFonts w:hint="eastAsia" w:ascii="仿宋_GB2312" w:hAnsi="Arial" w:eastAsia="仿宋_GB2312" w:cs="Arial"/>
          <w:sz w:val="32"/>
          <w:szCs w:val="32"/>
        </w:rPr>
        <w:t>人。</w:t>
      </w:r>
    </w:p>
    <w:p>
      <w:pPr>
        <w:spacing w:line="540" w:lineRule="exact"/>
        <w:ind w:firstLine="567" w:firstLineChars="181"/>
        <w:rPr>
          <w:rStyle w:val="19"/>
          <w:rFonts w:ascii="楷体" w:hAnsi="楷体" w:eastAsia="楷体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（二）项目预算</w:t>
      </w:r>
      <w:r>
        <w:rPr>
          <w:rStyle w:val="19"/>
          <w:rFonts w:ascii="楷体" w:hAnsi="楷体" w:eastAsia="楷体"/>
          <w:spacing w:val="-4"/>
          <w:sz w:val="32"/>
          <w:szCs w:val="32"/>
        </w:rPr>
        <w:t>绩效目标</w:t>
      </w: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设定情况</w:t>
      </w:r>
    </w:p>
    <w:p>
      <w:pPr>
        <w:adjustRightInd w:val="0"/>
        <w:snapToGrid w:val="0"/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目标1：规范城乡低保政策实施，合理确定保障标准，使低保对象基本生活得到有效保障。</w:t>
      </w:r>
    </w:p>
    <w:p>
      <w:pPr>
        <w:adjustRightInd w:val="0"/>
        <w:snapToGrid w:val="0"/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目标2：统筹城乡特困人员救助供养工作，合理确定保障标准。</w:t>
      </w:r>
    </w:p>
    <w:p>
      <w:pPr>
        <w:adjustRightInd w:val="0"/>
        <w:snapToGrid w:val="0"/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目标3：规范实施临时救助政策，实现及时高效，救急解难。</w:t>
      </w:r>
    </w:p>
    <w:p>
      <w:pPr>
        <w:adjustRightInd w:val="0"/>
        <w:snapToGrid w:val="0"/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目标4：为生活无着流浪乞讨人员提供临时食宿、疾病救治、协助返回等救助，并妥善安置返乡受助人员。</w:t>
      </w:r>
    </w:p>
    <w:p>
      <w:pPr>
        <w:adjustRightInd w:val="0"/>
        <w:snapToGrid w:val="0"/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目标5：对流浪未成年人提供特殊优先保护及教育矫治等专业服务，确保其健康成长。</w:t>
      </w:r>
    </w:p>
    <w:p>
      <w:pPr>
        <w:adjustRightInd w:val="0"/>
        <w:snapToGrid w:val="0"/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目标6：对存在流浪风险的未成年人开展摸底排查、家庭监护评估、监护监督等工作，为其提供临时照料、医疗救治、心理疏导、行为矫治、社会融入、家庭关系调试、法律援助等专业服务，从源头上预防未成年人外出流浪。</w:t>
      </w:r>
    </w:p>
    <w:p>
      <w:pPr>
        <w:adjustRightInd w:val="0"/>
        <w:snapToGrid w:val="0"/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目标7：引导地方提高孤儿生活保障水平，孤儿生活保障政策规范高效实施；使孤儿、艾滋病病毒感染儿童和事实无人抚养儿童基本生活得到保障。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ascii="仿宋" w:hAnsi="仿宋" w:eastAsia="仿宋"/>
          <w:bCs/>
          <w:spacing w:val="-4"/>
          <w:sz w:val="32"/>
          <w:szCs w:val="32"/>
        </w:rPr>
        <w:t>2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、项目基本性质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本项目性质为延续项目。</w:t>
      </w:r>
    </w:p>
    <w:p>
      <w:pPr>
        <w:adjustRightInd w:val="0"/>
        <w:snapToGrid w:val="0"/>
        <w:spacing w:line="560" w:lineRule="exact"/>
        <w:ind w:firstLine="627" w:firstLineChars="200"/>
        <w:rPr>
          <w:rFonts w:ascii="仿宋" w:hAnsi="仿宋" w:eastAsia="仿宋"/>
          <w:b/>
          <w:bCs/>
          <w:spacing w:val="-4"/>
          <w:sz w:val="32"/>
          <w:szCs w:val="32"/>
        </w:rPr>
      </w:pPr>
      <w:r>
        <w:rPr>
          <w:rFonts w:ascii="仿宋" w:hAnsi="仿宋" w:eastAsia="仿宋"/>
          <w:b/>
          <w:bCs/>
          <w:spacing w:val="-4"/>
          <w:sz w:val="32"/>
          <w:szCs w:val="32"/>
        </w:rPr>
        <w:t>3</w:t>
      </w:r>
      <w:r>
        <w:rPr>
          <w:rFonts w:hint="eastAsia" w:ascii="仿宋" w:hAnsi="仿宋" w:eastAsia="仿宋"/>
          <w:b/>
          <w:bCs/>
          <w:spacing w:val="-4"/>
          <w:sz w:val="32"/>
          <w:szCs w:val="32"/>
        </w:rPr>
        <w:t>、项目用途及范围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其他社会保障和就业支出主要用于低保、特困人员救助供养、临时救助、孤儿基本生活保障及流浪乞讨人员救助补助支出</w:t>
      </w:r>
      <w:r>
        <w:rPr>
          <w:rFonts w:ascii="仿宋" w:hAnsi="仿宋" w:eastAsia="仿宋" w:cs="仿宋"/>
          <w:sz w:val="32"/>
          <w:szCs w:val="32"/>
        </w:rPr>
        <w:t>。</w:t>
      </w:r>
    </w:p>
    <w:p>
      <w:pPr>
        <w:spacing w:line="540" w:lineRule="exact"/>
        <w:ind w:firstLine="640"/>
        <w:rPr>
          <w:rStyle w:val="19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/>
          <w:b w:val="0"/>
          <w:spacing w:val="-4"/>
          <w:sz w:val="32"/>
          <w:szCs w:val="32"/>
        </w:rPr>
        <w:t>二、项目资金使用及管理情况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9"/>
          <w:rFonts w:ascii="楷体" w:hAnsi="楷体" w:eastAsia="楷体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（一）项目资金安排落实、总投入等情况分析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_GB2312" w:hAnsi="Arial" w:eastAsia="仿宋_GB2312" w:cs="Arial"/>
          <w:kern w:val="0"/>
          <w:sz w:val="32"/>
          <w:szCs w:val="32"/>
          <w:lang w:val="zh-TW"/>
        </w:rPr>
        <w:t>城市</w:t>
      </w:r>
      <w:r>
        <w:rPr>
          <w:rFonts w:hint="eastAsia" w:ascii="仿宋_GB2312" w:hAnsi="Arial" w:eastAsia="仿宋_GB2312" w:cs="Arial"/>
          <w:kern w:val="0"/>
          <w:sz w:val="32"/>
          <w:szCs w:val="32"/>
          <w:lang w:val="zh-TW" w:eastAsia="zh-TW"/>
        </w:rPr>
        <w:t>最低生活保障金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项目预算安排总额为13211.97万元，其中财政资金</w:t>
      </w:r>
      <w:r>
        <w:rPr>
          <w:rFonts w:hint="eastAsia" w:ascii="仿宋" w:hAnsi="仿宋" w:eastAsia="仿宋"/>
          <w:bCs/>
          <w:spacing w:val="-4"/>
          <w:sz w:val="32"/>
          <w:szCs w:val="32"/>
          <w:lang w:val="en-US" w:eastAsia="zh-CN"/>
        </w:rPr>
        <w:t>0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万元为上年结转结余，201</w:t>
      </w:r>
      <w:r>
        <w:rPr>
          <w:rFonts w:hint="eastAsia" w:ascii="仿宋" w:hAnsi="仿宋" w:eastAsia="仿宋"/>
          <w:bCs/>
          <w:spacing w:val="-4"/>
          <w:sz w:val="32"/>
          <w:szCs w:val="32"/>
          <w:lang w:val="en-US" w:eastAsia="zh-CN"/>
        </w:rPr>
        <w:t>9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年实际收到预算资金13211.97万元。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9"/>
          <w:rFonts w:ascii="楷体" w:hAnsi="楷体" w:eastAsia="楷体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（二）项目资金实际使用情况分析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本项目实际支付资金13211.97万元，预算执行率100</w:t>
      </w:r>
      <w:r>
        <w:rPr>
          <w:rFonts w:ascii="仿宋" w:hAnsi="仿宋" w:eastAsia="仿宋"/>
          <w:bCs/>
          <w:spacing w:val="-4"/>
          <w:sz w:val="32"/>
          <w:szCs w:val="32"/>
        </w:rPr>
        <w:t>%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。项目资金主要用于</w:t>
      </w:r>
      <w:r>
        <w:rPr>
          <w:rFonts w:hint="eastAsia" w:ascii="仿宋" w:hAnsi="仿宋" w:eastAsia="仿宋"/>
          <w:bCs/>
          <w:spacing w:val="-4"/>
          <w:sz w:val="32"/>
          <w:szCs w:val="32"/>
          <w:lang w:eastAsia="zh-CN"/>
        </w:rPr>
        <w:t>发放城市低保金</w:t>
      </w:r>
      <w:r>
        <w:rPr>
          <w:rFonts w:hint="eastAsia" w:ascii="仿宋" w:hAnsi="仿宋" w:eastAsia="仿宋"/>
          <w:bCs/>
          <w:spacing w:val="-4"/>
          <w:sz w:val="32"/>
          <w:szCs w:val="32"/>
          <w:lang w:val="en-US" w:eastAsia="zh-CN"/>
        </w:rPr>
        <w:t>2616.26万元77952人次；农村低保进7773.24万元364320人次；临时救助及临时补贴1858.03万元；特困人员供养补助605.67万元；协理员护理员工资补助358.77万元；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共计13211.97万元。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9"/>
          <w:rFonts w:ascii="楷体" w:hAnsi="楷体" w:eastAsia="楷体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（三）项目资金管理情况分析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单位制定《泽普县民政局财务管理制度》，本项目支出符合泽普县民政局相关财务管理制度，包括会计人员集中核算工作管理制度、财务收支审批制度、财务稽核制度、财务牵制制度、会计主管岗位职责等制度规定，资金的拨付有完整的审批程序和手续，不存在截留、挤占、挪用等情况。</w:t>
      </w:r>
    </w:p>
    <w:p>
      <w:pPr>
        <w:spacing w:line="540" w:lineRule="exact"/>
        <w:ind w:firstLine="640"/>
        <w:rPr>
          <w:rStyle w:val="19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/>
          <w:b w:val="0"/>
          <w:spacing w:val="-4"/>
          <w:sz w:val="32"/>
          <w:szCs w:val="32"/>
        </w:rPr>
        <w:t>三、项目组织实施情况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9"/>
          <w:rFonts w:ascii="楷体" w:hAnsi="楷体" w:eastAsia="楷体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（一）项目组织情况分析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9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/>
          <w:b w:val="0"/>
          <w:spacing w:val="-4"/>
          <w:sz w:val="32"/>
          <w:szCs w:val="32"/>
        </w:rPr>
        <w:t>本项目不存在投标情况。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9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/>
          <w:b w:val="0"/>
          <w:spacing w:val="-4"/>
          <w:sz w:val="32"/>
          <w:szCs w:val="32"/>
        </w:rPr>
        <w:t>本项目不存在调整情况。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9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/>
          <w:b w:val="0"/>
          <w:spacing w:val="-4"/>
          <w:sz w:val="32"/>
          <w:szCs w:val="32"/>
        </w:rPr>
        <w:t>本项目不存在检查验收程序。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9"/>
          <w:rFonts w:ascii="楷体" w:hAnsi="楷体" w:eastAsia="楷体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（二）项目管理情况分析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9"/>
          <w:rFonts w:ascii="仿宋" w:hAnsi="仿宋" w:eastAsia="仿宋"/>
          <w:b w:val="0"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项目实施过程中，泽普县民政局建立了《泽普县民政局</w:t>
      </w:r>
      <w:r>
        <w:rPr>
          <w:rFonts w:hint="eastAsia" w:ascii="仿宋" w:hAnsi="仿宋" w:eastAsia="仿宋"/>
          <w:bCs/>
          <w:spacing w:val="-4"/>
          <w:sz w:val="32"/>
          <w:szCs w:val="32"/>
          <w:lang w:eastAsia="zh-CN"/>
        </w:rPr>
        <w:t>困难救助资金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申请审核业务流程》保障项目的顺利实施。项目的实施遵守相关法律法规和业务管理规定，项目资料齐全并及时归档。已建立《泽普县民政局日常检查监督检查机制》，不定期对项目进度情况进行督导检查，对检查过程中发现的问题及时督促整改，确保了项目按时保质完成。</w:t>
      </w:r>
    </w:p>
    <w:p>
      <w:pPr>
        <w:spacing w:line="540" w:lineRule="exact"/>
        <w:ind w:firstLine="640"/>
        <w:rPr>
          <w:rStyle w:val="19"/>
          <w:rFonts w:ascii="黑体" w:hAnsi="黑体" w:eastAsia="黑体"/>
        </w:rPr>
      </w:pPr>
      <w:r>
        <w:rPr>
          <w:rStyle w:val="19"/>
          <w:rFonts w:hint="eastAsia" w:ascii="黑体" w:hAnsi="黑体" w:eastAsia="黑体"/>
          <w:b w:val="0"/>
          <w:spacing w:val="-4"/>
          <w:sz w:val="32"/>
          <w:szCs w:val="32"/>
        </w:rPr>
        <w:t>四、项目绩效情况</w:t>
      </w:r>
      <w:r>
        <w:rPr>
          <w:rStyle w:val="19"/>
          <w:rFonts w:hint="eastAsia" w:ascii="黑体" w:hAnsi="黑体" w:eastAsia="黑体"/>
        </w:rPr>
        <w:t xml:space="preserve"> 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（一）项目绩效目标完成情况分析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ascii="仿宋" w:hAnsi="仿宋" w:eastAsia="仿宋"/>
          <w:bCs/>
          <w:spacing w:val="-4"/>
          <w:sz w:val="32"/>
          <w:szCs w:val="32"/>
        </w:rPr>
        <w:t>本项目共设置一级指标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3</w:t>
      </w:r>
      <w:r>
        <w:rPr>
          <w:rFonts w:ascii="仿宋" w:hAnsi="仿宋" w:eastAsia="仿宋"/>
          <w:bCs/>
          <w:spacing w:val="-4"/>
          <w:sz w:val="32"/>
          <w:szCs w:val="32"/>
        </w:rPr>
        <w:t>个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，</w:t>
      </w:r>
      <w:r>
        <w:rPr>
          <w:rFonts w:ascii="仿宋" w:hAnsi="仿宋" w:eastAsia="仿宋"/>
          <w:bCs/>
          <w:spacing w:val="-4"/>
          <w:sz w:val="32"/>
          <w:szCs w:val="32"/>
        </w:rPr>
        <w:t>二级指标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9</w:t>
      </w:r>
      <w:r>
        <w:rPr>
          <w:rFonts w:ascii="仿宋" w:hAnsi="仿宋" w:eastAsia="仿宋"/>
          <w:bCs/>
          <w:spacing w:val="-4"/>
          <w:sz w:val="32"/>
          <w:szCs w:val="32"/>
        </w:rPr>
        <w:t>个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，</w:t>
      </w:r>
      <w:r>
        <w:rPr>
          <w:rFonts w:ascii="仿宋" w:hAnsi="仿宋" w:eastAsia="仿宋"/>
          <w:bCs/>
          <w:spacing w:val="-4"/>
          <w:sz w:val="32"/>
          <w:szCs w:val="32"/>
        </w:rPr>
        <w:t>三级指标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10</w:t>
      </w:r>
      <w:r>
        <w:rPr>
          <w:rFonts w:ascii="仿宋" w:hAnsi="仿宋" w:eastAsia="仿宋"/>
          <w:bCs/>
          <w:spacing w:val="-4"/>
          <w:sz w:val="32"/>
          <w:szCs w:val="32"/>
        </w:rPr>
        <w:t>个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，其中</w:t>
      </w:r>
      <w:r>
        <w:rPr>
          <w:rFonts w:ascii="仿宋" w:hAnsi="仿宋" w:eastAsia="仿宋"/>
          <w:bCs/>
          <w:spacing w:val="-4"/>
          <w:sz w:val="32"/>
          <w:szCs w:val="32"/>
        </w:rPr>
        <w:t>已完成三级指标</w:t>
      </w:r>
      <w:r>
        <w:rPr>
          <w:rFonts w:hint="eastAsia" w:ascii="仿宋" w:hAnsi="仿宋" w:eastAsia="仿宋"/>
          <w:bCs/>
          <w:spacing w:val="-4"/>
          <w:sz w:val="32"/>
          <w:szCs w:val="32"/>
          <w:lang w:val="en-US" w:eastAsia="zh-CN"/>
        </w:rPr>
        <w:t>21</w:t>
      </w:r>
      <w:r>
        <w:rPr>
          <w:rFonts w:ascii="仿宋" w:hAnsi="仿宋" w:eastAsia="仿宋"/>
          <w:bCs/>
          <w:spacing w:val="-4"/>
          <w:sz w:val="32"/>
          <w:szCs w:val="32"/>
        </w:rPr>
        <w:t>个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，指标完成率为100%。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9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/>
          <w:b w:val="0"/>
          <w:spacing w:val="-4"/>
          <w:sz w:val="32"/>
          <w:szCs w:val="32"/>
        </w:rPr>
        <w:t>经济性：本年度</w:t>
      </w:r>
      <w:r>
        <w:rPr>
          <w:rStyle w:val="19"/>
          <w:rFonts w:hint="eastAsia" w:ascii="仿宋" w:hAnsi="仿宋" w:eastAsia="仿宋"/>
          <w:b w:val="0"/>
          <w:spacing w:val="-4"/>
          <w:sz w:val="32"/>
          <w:szCs w:val="32"/>
          <w:lang w:eastAsia="zh-CN"/>
        </w:rPr>
        <w:t>困难救助补助资金</w:t>
      </w:r>
      <w:r>
        <w:rPr>
          <w:rStyle w:val="19"/>
          <w:rFonts w:hint="eastAsia" w:ascii="仿宋" w:hAnsi="仿宋" w:eastAsia="仿宋"/>
          <w:b w:val="0"/>
          <w:spacing w:val="-4"/>
          <w:sz w:val="32"/>
          <w:szCs w:val="32"/>
        </w:rPr>
        <w:t>成本</w:t>
      </w:r>
      <w:r>
        <w:rPr>
          <w:rStyle w:val="19"/>
          <w:rFonts w:hint="eastAsia" w:ascii="仿宋" w:hAnsi="仿宋" w:eastAsia="仿宋"/>
          <w:b w:val="0"/>
          <w:spacing w:val="-4"/>
          <w:sz w:val="32"/>
          <w:szCs w:val="32"/>
          <w:lang w:val="en-US" w:eastAsia="zh-CN"/>
        </w:rPr>
        <w:t>13211.97</w:t>
      </w:r>
      <w:r>
        <w:rPr>
          <w:rStyle w:val="19"/>
          <w:rFonts w:hint="eastAsia" w:ascii="仿宋" w:hAnsi="仿宋" w:eastAsia="仿宋"/>
          <w:b w:val="0"/>
          <w:spacing w:val="-4"/>
          <w:sz w:val="32"/>
          <w:szCs w:val="32"/>
        </w:rPr>
        <w:t>万元，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实际收到预算资金全部用于补贴发放，成本指标完成率100%</w:t>
      </w:r>
      <w:r>
        <w:rPr>
          <w:rStyle w:val="19"/>
          <w:rFonts w:hint="eastAsia" w:ascii="仿宋" w:hAnsi="仿宋" w:eastAsia="仿宋"/>
          <w:b w:val="0"/>
          <w:spacing w:val="-4"/>
          <w:sz w:val="32"/>
          <w:szCs w:val="32"/>
        </w:rPr>
        <w:t>。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9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/>
          <w:b w:val="0"/>
          <w:spacing w:val="-4"/>
          <w:sz w:val="32"/>
          <w:szCs w:val="32"/>
        </w:rPr>
        <w:t>效率性：</w:t>
      </w:r>
      <w:r>
        <w:rPr>
          <w:rStyle w:val="19"/>
          <w:rFonts w:hint="eastAsia" w:ascii="仿宋" w:hAnsi="仿宋" w:eastAsia="仿宋"/>
          <w:b w:val="0"/>
          <w:spacing w:val="-4"/>
          <w:sz w:val="32"/>
          <w:szCs w:val="32"/>
          <w:lang w:eastAsia="zh-CN"/>
        </w:rPr>
        <w:t>低保资金、特困供养资金、临时救助资金、孤儿生活费</w:t>
      </w:r>
      <w:r>
        <w:rPr>
          <w:rStyle w:val="19"/>
          <w:rFonts w:hint="eastAsia" w:ascii="仿宋" w:hAnsi="仿宋" w:eastAsia="仿宋"/>
          <w:b w:val="0"/>
          <w:spacing w:val="-4"/>
          <w:sz w:val="32"/>
          <w:szCs w:val="32"/>
        </w:rPr>
        <w:t>按照</w:t>
      </w:r>
      <w:r>
        <w:rPr>
          <w:rStyle w:val="19"/>
          <w:rFonts w:hint="eastAsia" w:ascii="仿宋" w:hAnsi="仿宋" w:eastAsia="仿宋"/>
          <w:b w:val="0"/>
          <w:spacing w:val="-4"/>
          <w:sz w:val="32"/>
          <w:szCs w:val="32"/>
          <w:lang w:eastAsia="zh-CN"/>
        </w:rPr>
        <w:t>月</w:t>
      </w:r>
      <w:r>
        <w:rPr>
          <w:rStyle w:val="19"/>
          <w:rFonts w:hint="eastAsia" w:ascii="仿宋" w:hAnsi="仿宋" w:eastAsia="仿宋"/>
          <w:b w:val="0"/>
          <w:spacing w:val="-4"/>
          <w:sz w:val="32"/>
          <w:szCs w:val="32"/>
        </w:rPr>
        <w:t>发放，截止目前已全部按时发放完毕，补助金发放率</w:t>
      </w:r>
      <w:r>
        <w:rPr>
          <w:rStyle w:val="19"/>
          <w:rFonts w:hint="eastAsia" w:ascii="仿宋" w:hAnsi="仿宋" w:eastAsia="仿宋"/>
          <w:b w:val="0"/>
          <w:spacing w:val="-4"/>
          <w:sz w:val="32"/>
          <w:szCs w:val="32"/>
          <w:lang w:val="en-US" w:eastAsia="zh-CN"/>
        </w:rPr>
        <w:t>100</w:t>
      </w:r>
      <w:r>
        <w:rPr>
          <w:rStyle w:val="19"/>
          <w:rFonts w:hint="eastAsia" w:ascii="仿宋" w:hAnsi="仿宋" w:eastAsia="仿宋"/>
          <w:b w:val="0"/>
          <w:spacing w:val="-4"/>
          <w:sz w:val="32"/>
          <w:szCs w:val="32"/>
        </w:rPr>
        <w:t>%。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/>
          <w:b w:val="0"/>
          <w:spacing w:val="-4"/>
          <w:sz w:val="32"/>
          <w:szCs w:val="32"/>
        </w:rPr>
        <w:t>效益性：</w:t>
      </w:r>
      <w:r>
        <w:rPr>
          <w:rFonts w:hint="eastAsia" w:ascii="仿宋" w:hAnsi="仿宋" w:eastAsia="仿宋" w:cs="仿宋"/>
          <w:sz w:val="32"/>
          <w:szCs w:val="32"/>
        </w:rPr>
        <w:t>宣传发放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困难群众救助补助</w:t>
      </w:r>
      <w:r>
        <w:rPr>
          <w:rFonts w:hint="eastAsia" w:ascii="仿宋" w:hAnsi="仿宋" w:eastAsia="仿宋" w:cs="仿宋"/>
          <w:sz w:val="32"/>
          <w:szCs w:val="32"/>
        </w:rPr>
        <w:t>资金项目，政策宣传到位，群众知晓率提高，对健全社会救助体系成效显著。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（二）项目绩效目标未完成原因分析</w:t>
      </w:r>
    </w:p>
    <w:p>
      <w:pPr>
        <w:spacing w:line="540" w:lineRule="exact"/>
        <w:ind w:firstLine="564" w:firstLineChars="181"/>
        <w:rPr>
          <w:rFonts w:ascii="仿宋" w:hAnsi="仿宋" w:eastAsia="仿宋"/>
          <w:spacing w:val="-4"/>
          <w:sz w:val="32"/>
          <w:szCs w:val="32"/>
        </w:rPr>
      </w:pPr>
      <w:r>
        <w:rPr>
          <w:rFonts w:ascii="仿宋" w:hAnsi="仿宋" w:eastAsia="仿宋"/>
          <w:spacing w:val="-4"/>
          <w:sz w:val="32"/>
          <w:szCs w:val="32"/>
        </w:rPr>
        <w:t>201</w:t>
      </w:r>
      <w:r>
        <w:rPr>
          <w:rFonts w:hint="eastAsia" w:ascii="仿宋" w:hAnsi="仿宋" w:eastAsia="仿宋"/>
          <w:spacing w:val="-4"/>
          <w:sz w:val="32"/>
          <w:szCs w:val="32"/>
          <w:lang w:val="en-US" w:eastAsia="zh-CN"/>
        </w:rPr>
        <w:t>9</w:t>
      </w:r>
      <w:r>
        <w:rPr>
          <w:rFonts w:hint="eastAsia" w:ascii="仿宋" w:hAnsi="仿宋" w:eastAsia="仿宋"/>
          <w:spacing w:val="-4"/>
          <w:sz w:val="32"/>
          <w:szCs w:val="32"/>
        </w:rPr>
        <w:t>年本项目绩效目标全部达成，不存在未完成原因分析。</w:t>
      </w:r>
    </w:p>
    <w:p>
      <w:pPr>
        <w:spacing w:line="540" w:lineRule="exact"/>
        <w:ind w:firstLine="640"/>
        <w:rPr>
          <w:rStyle w:val="19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/>
          <w:b w:val="0"/>
          <w:spacing w:val="-4"/>
          <w:sz w:val="32"/>
          <w:szCs w:val="32"/>
        </w:rPr>
        <w:t>五、其他需要说明的问题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（一）后续工作计划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不断完善规范</w:t>
      </w:r>
      <w:r>
        <w:rPr>
          <w:rFonts w:hint="eastAsia" w:ascii="仿宋" w:hAnsi="仿宋" w:eastAsia="仿宋"/>
          <w:bCs/>
          <w:spacing w:val="-4"/>
          <w:sz w:val="32"/>
          <w:szCs w:val="32"/>
          <w:lang w:eastAsia="zh-CN"/>
        </w:rPr>
        <w:t>困难救助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工作机制，加大</w:t>
      </w:r>
      <w:r>
        <w:rPr>
          <w:rFonts w:hint="eastAsia" w:ascii="仿宋" w:hAnsi="仿宋" w:eastAsia="仿宋"/>
          <w:bCs/>
          <w:spacing w:val="-4"/>
          <w:sz w:val="32"/>
          <w:szCs w:val="32"/>
          <w:lang w:eastAsia="zh-CN"/>
        </w:rPr>
        <w:t>困难救助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工作监管力度，以社会化发放、信息化管理为基础，统筹城乡，加快</w:t>
      </w:r>
      <w:r>
        <w:rPr>
          <w:rFonts w:hint="eastAsia" w:ascii="仿宋" w:hAnsi="仿宋" w:eastAsia="仿宋"/>
          <w:bCs/>
          <w:spacing w:val="-4"/>
          <w:sz w:val="32"/>
          <w:szCs w:val="32"/>
          <w:lang w:eastAsia="zh-CN"/>
        </w:rPr>
        <w:t>困难救助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工作信息网络建设，建立档案，确保</w:t>
      </w:r>
      <w:r>
        <w:rPr>
          <w:rFonts w:hint="eastAsia" w:ascii="仿宋" w:hAnsi="仿宋" w:eastAsia="仿宋"/>
          <w:bCs/>
          <w:spacing w:val="-4"/>
          <w:sz w:val="32"/>
          <w:szCs w:val="32"/>
          <w:lang w:eastAsia="zh-CN"/>
        </w:rPr>
        <w:t>困难救助补助资金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按时足额发放到位。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（二）主要经验及做法、存在问题和建议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1、主要经验及做法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一是严格核实对象，切实做到应保尽保；二是严格资金管理，切实保证资金运行安全；三是严格审批程序，保障城乡居民的合法权益；四是加强宣传教育，切实营造良好的社会气氛。</w:t>
      </w:r>
    </w:p>
    <w:p>
      <w:pPr>
        <w:numPr>
          <w:ilvl w:val="0"/>
          <w:numId w:val="1"/>
        </w:num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存在的问题</w:t>
      </w:r>
    </w:p>
    <w:p>
      <w:pPr>
        <w:adjustRightInd w:val="0"/>
        <w:snapToGrid w:val="0"/>
        <w:spacing w:line="560" w:lineRule="exact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 xml:space="preserve">    </w:t>
      </w:r>
      <w:r>
        <w:rPr>
          <w:rFonts w:hint="eastAsia" w:ascii="仿宋" w:hAnsi="仿宋" w:eastAsia="仿宋"/>
          <w:bCs/>
          <w:spacing w:val="-4"/>
          <w:sz w:val="32"/>
          <w:szCs w:val="32"/>
          <w:lang w:eastAsia="zh-CN"/>
        </w:rPr>
        <w:t>困难救助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工作机构、人员与经费严重不适应工作需要。就目前来看,困难居民多,工作难度大，尤其是低保工作即要接受申请、进行调查核实、收集每一个低保对象的有关备案材料、建档造册,还要做好审批及证件、资金的发放等,同时还要进行定期核查,加强动态管理,而且每一次的低保对象核定和审批就需二、三个月,任务极为繁重。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3、建议</w:t>
      </w:r>
      <w:r>
        <w:rPr>
          <w:rFonts w:hint="eastAsia" w:ascii="仿宋_GB2312" w:hAnsi="Arial" w:eastAsia="仿宋_GB2312" w:cs="Arial"/>
          <w:kern w:val="0"/>
          <w:sz w:val="32"/>
          <w:szCs w:val="32"/>
        </w:rPr>
        <w:t>增加低保中心人员编制，充实人员。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（三）其他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spacing w:val="-4"/>
          <w:sz w:val="32"/>
          <w:szCs w:val="32"/>
        </w:rPr>
      </w:pPr>
      <w:r>
        <w:rPr>
          <w:rFonts w:hint="eastAsia" w:ascii="仿宋" w:hAnsi="仿宋" w:eastAsia="仿宋"/>
          <w:spacing w:val="-4"/>
          <w:sz w:val="32"/>
          <w:szCs w:val="32"/>
        </w:rPr>
        <w:t>无其他说明内容。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Fonts w:ascii="黑体" w:hAnsi="黑体" w:eastAsia="黑体"/>
          <w:bCs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/>
          <w:b w:val="0"/>
          <w:spacing w:val="-4"/>
          <w:sz w:val="32"/>
          <w:szCs w:val="32"/>
        </w:rPr>
        <w:t>六、项目评价工作情况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spacing w:val="-4"/>
          <w:sz w:val="32"/>
          <w:szCs w:val="32"/>
        </w:rPr>
      </w:pPr>
      <w:r>
        <w:rPr>
          <w:rFonts w:hint="eastAsia" w:ascii="仿宋" w:hAnsi="仿宋" w:eastAsia="仿宋"/>
          <w:spacing w:val="-4"/>
          <w:sz w:val="32"/>
          <w:szCs w:val="32"/>
        </w:rPr>
        <w:t>本次评价通过文件研读、实地调研、数据分析等方式，全面了解城市</w:t>
      </w:r>
      <w:r>
        <w:rPr>
          <w:rFonts w:hint="eastAsia" w:ascii="仿宋_GB2312" w:hAnsi="Arial" w:eastAsia="仿宋_GB2312" w:cs="Arial"/>
          <w:kern w:val="0"/>
          <w:sz w:val="32"/>
          <w:szCs w:val="32"/>
          <w:lang w:val="zh-TW" w:eastAsia="zh-TW"/>
        </w:rPr>
        <w:t>最低生活保障金</w:t>
      </w:r>
      <w:r>
        <w:rPr>
          <w:rFonts w:hint="eastAsia" w:ascii="仿宋" w:hAnsi="仿宋" w:eastAsia="仿宋"/>
          <w:spacing w:val="-4"/>
          <w:sz w:val="32"/>
          <w:szCs w:val="32"/>
        </w:rPr>
        <w:t>项目资金的使用效率和效果，项目管理过程是否规范，是否完成了预期绩效目标等。同时，通过开展自我评价来总结经验和教训，为泽普县</w:t>
      </w:r>
      <w:r>
        <w:rPr>
          <w:rFonts w:hint="eastAsia" w:ascii="仿宋_GB2312" w:hAnsi="Arial" w:eastAsia="仿宋_GB2312" w:cs="Arial"/>
          <w:kern w:val="0"/>
          <w:sz w:val="32"/>
          <w:szCs w:val="32"/>
          <w:lang w:val="zh-TW" w:eastAsia="zh-TW"/>
        </w:rPr>
        <w:t>农村最低生活保障金</w:t>
      </w:r>
      <w:r>
        <w:rPr>
          <w:rFonts w:hint="eastAsia" w:ascii="仿宋" w:hAnsi="仿宋" w:eastAsia="仿宋"/>
          <w:spacing w:val="-4"/>
          <w:sz w:val="32"/>
          <w:szCs w:val="32"/>
        </w:rPr>
        <w:t>项目今后的开展提供参考建议。</w:t>
      </w:r>
    </w:p>
    <w:p>
      <w:pPr>
        <w:spacing w:line="540" w:lineRule="exact"/>
        <w:ind w:firstLine="640"/>
        <w:rPr>
          <w:rStyle w:val="19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/>
          <w:b w:val="0"/>
          <w:spacing w:val="-4"/>
          <w:sz w:val="32"/>
          <w:szCs w:val="32"/>
        </w:rPr>
        <w:t>七、附表</w:t>
      </w:r>
    </w:p>
    <w:p>
      <w:pPr>
        <w:spacing w:line="540" w:lineRule="exact"/>
        <w:ind w:firstLine="567"/>
        <w:rPr>
          <w:rStyle w:val="19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/>
          <w:b w:val="0"/>
          <w:spacing w:val="-4"/>
          <w:sz w:val="32"/>
          <w:szCs w:val="32"/>
        </w:rPr>
        <w:t>《自治区财政项目支出绩效自评表》</w:t>
      </w:r>
    </w:p>
    <w:p>
      <w:pPr>
        <w:spacing w:line="540" w:lineRule="exact"/>
        <w:ind w:firstLine="567"/>
        <w:rPr>
          <w:rStyle w:val="19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9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9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9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9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rPr>
          <w:rStyle w:val="19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rPr>
          <w:rStyle w:val="19"/>
          <w:rFonts w:eastAsia="仿宋" w:asciiTheme="minorEastAsia" w:hAnsiTheme="minorEastAsia"/>
          <w:b w:val="0"/>
          <w:spacing w:val="-4"/>
          <w:sz w:val="20"/>
          <w:szCs w:val="32"/>
        </w:rPr>
      </w:pPr>
    </w:p>
    <w:sectPr>
      <w:footerReference r:id="rId3" w:type="default"/>
      <w:pgSz w:w="11906" w:h="16838"/>
      <w:pgMar w:top="1440" w:right="1558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altName w:val="微软雅黑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422003363"/>
    </w:sdtPr>
    <w:sdtContent>
      <w:p>
        <w:pPr>
          <w:pStyle w:val="1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3</w:t>
        </w:r>
        <w:r>
          <w:fldChar w:fldCharType="end"/>
        </w:r>
      </w:p>
    </w:sdtContent>
  </w:sdt>
  <w:p>
    <w:pPr>
      <w:pStyle w:val="12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6E3F69E"/>
    <w:multiLevelType w:val="singleLevel"/>
    <w:tmpl w:val="A6E3F69E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6457"/>
    <w:rsid w:val="00056465"/>
    <w:rsid w:val="00121AE4"/>
    <w:rsid w:val="00146AAD"/>
    <w:rsid w:val="001B3A40"/>
    <w:rsid w:val="003302F4"/>
    <w:rsid w:val="0036514A"/>
    <w:rsid w:val="004366A8"/>
    <w:rsid w:val="00502BA7"/>
    <w:rsid w:val="005162F1"/>
    <w:rsid w:val="00532F6F"/>
    <w:rsid w:val="00535153"/>
    <w:rsid w:val="00554F82"/>
    <w:rsid w:val="0056390D"/>
    <w:rsid w:val="005719B0"/>
    <w:rsid w:val="005D10D6"/>
    <w:rsid w:val="00607FEF"/>
    <w:rsid w:val="00792ABD"/>
    <w:rsid w:val="00855E3A"/>
    <w:rsid w:val="0085612A"/>
    <w:rsid w:val="00891AC1"/>
    <w:rsid w:val="00922CB9"/>
    <w:rsid w:val="009E3A71"/>
    <w:rsid w:val="009E5CD9"/>
    <w:rsid w:val="00A26421"/>
    <w:rsid w:val="00A4293B"/>
    <w:rsid w:val="00A67D50"/>
    <w:rsid w:val="00A8691A"/>
    <w:rsid w:val="00AC1946"/>
    <w:rsid w:val="00B2721C"/>
    <w:rsid w:val="00B40063"/>
    <w:rsid w:val="00B41F61"/>
    <w:rsid w:val="00BA46E6"/>
    <w:rsid w:val="00C20F4C"/>
    <w:rsid w:val="00C56C72"/>
    <w:rsid w:val="00CA6457"/>
    <w:rsid w:val="00CB2D53"/>
    <w:rsid w:val="00D17F2E"/>
    <w:rsid w:val="00D30354"/>
    <w:rsid w:val="00DF42A0"/>
    <w:rsid w:val="00E769FE"/>
    <w:rsid w:val="00EA2CBE"/>
    <w:rsid w:val="00F32FEE"/>
    <w:rsid w:val="00FB10BB"/>
    <w:rsid w:val="05E92444"/>
    <w:rsid w:val="0DF20A1C"/>
    <w:rsid w:val="1C6A39E3"/>
    <w:rsid w:val="236702FB"/>
    <w:rsid w:val="350634A2"/>
    <w:rsid w:val="4B9C657C"/>
    <w:rsid w:val="4EAF32AC"/>
    <w:rsid w:val="60A671DF"/>
    <w:rsid w:val="74957999"/>
    <w:rsid w:val="769B644F"/>
    <w:rsid w:val="7F376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1"/>
    <w:qFormat/>
    <w:uiPriority w:val="9"/>
    <w:pPr>
      <w:keepNext/>
      <w:widowControl/>
      <w:spacing w:before="240" w:after="60"/>
      <w:jc w:val="left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3">
    <w:name w:val="heading 2"/>
    <w:basedOn w:val="1"/>
    <w:next w:val="1"/>
    <w:link w:val="22"/>
    <w:semiHidden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Theme="majorHAnsi" w:hAnsiTheme="majorHAnsi" w:eastAsiaTheme="majorEastAsia"/>
      <w:b/>
      <w:bCs/>
      <w:i/>
      <w:iCs/>
      <w:kern w:val="0"/>
      <w:sz w:val="28"/>
      <w:szCs w:val="28"/>
    </w:rPr>
  </w:style>
  <w:style w:type="paragraph" w:styleId="4">
    <w:name w:val="heading 3"/>
    <w:basedOn w:val="1"/>
    <w:next w:val="1"/>
    <w:link w:val="23"/>
    <w:semiHidden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4"/>
    <w:semiHidden/>
    <w:unhideWhenUsed/>
    <w:qFormat/>
    <w:uiPriority w:val="9"/>
    <w:pPr>
      <w:keepNext/>
      <w:widowControl/>
      <w:spacing w:before="240" w:after="60"/>
      <w:jc w:val="left"/>
      <w:outlineLvl w:val="3"/>
    </w:pPr>
    <w:rPr>
      <w:rFonts w:asciiTheme="minorHAnsi" w:hAnsiTheme="minorHAnsi" w:eastAsiaTheme="minorEastAsia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5"/>
    <w:semiHidden/>
    <w:unhideWhenUsed/>
    <w:qFormat/>
    <w:uiPriority w:val="9"/>
    <w:pPr>
      <w:widowControl/>
      <w:spacing w:before="240" w:after="60"/>
      <w:jc w:val="left"/>
      <w:outlineLvl w:val="4"/>
    </w:pPr>
    <w:rPr>
      <w:rFonts w:asciiTheme="minorHAnsi" w:hAnsiTheme="minorHAnsi" w:eastAsiaTheme="minorEastAsia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6"/>
    <w:semiHidden/>
    <w:unhideWhenUsed/>
    <w:qFormat/>
    <w:uiPriority w:val="9"/>
    <w:pPr>
      <w:widowControl/>
      <w:spacing w:before="240" w:after="60"/>
      <w:jc w:val="left"/>
      <w:outlineLvl w:val="5"/>
    </w:pPr>
    <w:rPr>
      <w:rFonts w:asciiTheme="minorHAnsi" w:hAnsiTheme="minorHAnsi" w:eastAsiaTheme="minorEastAsia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7"/>
    <w:semiHidden/>
    <w:unhideWhenUsed/>
    <w:qFormat/>
    <w:uiPriority w:val="9"/>
    <w:pPr>
      <w:widowControl/>
      <w:spacing w:before="240" w:after="60"/>
      <w:jc w:val="left"/>
      <w:outlineLvl w:val="6"/>
    </w:pPr>
    <w:rPr>
      <w:rFonts w:asciiTheme="minorHAnsi" w:hAnsiTheme="minorHAnsi" w:eastAsiaTheme="minorEastAsia"/>
      <w:kern w:val="0"/>
      <w:sz w:val="24"/>
    </w:rPr>
  </w:style>
  <w:style w:type="paragraph" w:styleId="9">
    <w:name w:val="heading 8"/>
    <w:basedOn w:val="1"/>
    <w:next w:val="1"/>
    <w:link w:val="28"/>
    <w:semiHidden/>
    <w:unhideWhenUsed/>
    <w:qFormat/>
    <w:uiPriority w:val="9"/>
    <w:pPr>
      <w:widowControl/>
      <w:spacing w:before="240" w:after="60"/>
      <w:jc w:val="left"/>
      <w:outlineLvl w:val="7"/>
    </w:pPr>
    <w:rPr>
      <w:rFonts w:asciiTheme="minorHAnsi" w:hAnsiTheme="minorHAnsi" w:eastAsiaTheme="minorEastAsia"/>
      <w:i/>
      <w:iCs/>
      <w:kern w:val="0"/>
      <w:sz w:val="24"/>
    </w:rPr>
  </w:style>
  <w:style w:type="paragraph" w:styleId="10">
    <w:name w:val="heading 9"/>
    <w:basedOn w:val="1"/>
    <w:next w:val="1"/>
    <w:link w:val="29"/>
    <w:semiHidden/>
    <w:unhideWhenUsed/>
    <w:qFormat/>
    <w:uiPriority w:val="9"/>
    <w:pPr>
      <w:widowControl/>
      <w:spacing w:before="240" w:after="60"/>
      <w:jc w:val="left"/>
      <w:outlineLvl w:val="8"/>
    </w:pPr>
    <w:rPr>
      <w:rFonts w:asciiTheme="majorHAnsi" w:hAnsiTheme="majorHAnsi" w:eastAsiaTheme="majorEastAsia"/>
      <w:kern w:val="0"/>
      <w:sz w:val="22"/>
      <w:szCs w:val="22"/>
    </w:rPr>
  </w:style>
  <w:style w:type="character" w:default="1" w:styleId="18">
    <w:name w:val="Default Paragraph Font"/>
    <w:semiHidden/>
    <w:unhideWhenUsed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alloon Text"/>
    <w:basedOn w:val="1"/>
    <w:link w:val="46"/>
    <w:semiHidden/>
    <w:unhideWhenUsed/>
    <w:qFormat/>
    <w:uiPriority w:val="99"/>
    <w:rPr>
      <w:sz w:val="18"/>
      <w:szCs w:val="18"/>
    </w:rPr>
  </w:style>
  <w:style w:type="paragraph" w:styleId="12">
    <w:name w:val="footer"/>
    <w:basedOn w:val="1"/>
    <w:link w:val="4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3">
    <w:name w:val="header"/>
    <w:basedOn w:val="1"/>
    <w:link w:val="4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4">
    <w:name w:val="Subtitle"/>
    <w:basedOn w:val="1"/>
    <w:next w:val="1"/>
    <w:link w:val="31"/>
    <w:qFormat/>
    <w:uiPriority w:val="11"/>
    <w:pPr>
      <w:widowControl/>
      <w:spacing w:after="60"/>
      <w:jc w:val="center"/>
      <w:outlineLvl w:val="1"/>
    </w:pPr>
    <w:rPr>
      <w:rFonts w:asciiTheme="majorHAnsi" w:hAnsiTheme="majorHAnsi" w:eastAsiaTheme="majorEastAsia"/>
      <w:kern w:val="0"/>
      <w:sz w:val="24"/>
    </w:rPr>
  </w:style>
  <w:style w:type="paragraph" w:styleId="15">
    <w:name w:val="Normal (Web)"/>
    <w:basedOn w:val="1"/>
    <w:qFormat/>
    <w:uiPriority w:val="0"/>
    <w:pPr>
      <w:widowControl/>
      <w:spacing w:before="100" w:beforeAutospacing="1" w:after="240"/>
      <w:jc w:val="left"/>
    </w:pPr>
    <w:rPr>
      <w:rFonts w:ascii="宋体" w:hAnsi="宋体" w:cs="宋体"/>
      <w:kern w:val="0"/>
      <w:sz w:val="24"/>
    </w:rPr>
  </w:style>
  <w:style w:type="paragraph" w:styleId="16">
    <w:name w:val="Title"/>
    <w:basedOn w:val="1"/>
    <w:next w:val="1"/>
    <w:link w:val="30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styleId="19">
    <w:name w:val="Strong"/>
    <w:basedOn w:val="18"/>
    <w:qFormat/>
    <w:uiPriority w:val="0"/>
    <w:rPr>
      <w:b/>
      <w:bCs/>
    </w:rPr>
  </w:style>
  <w:style w:type="character" w:styleId="20">
    <w:name w:val="Emphasis"/>
    <w:basedOn w:val="18"/>
    <w:qFormat/>
    <w:uiPriority w:val="20"/>
    <w:rPr>
      <w:rFonts w:asciiTheme="minorHAnsi" w:hAnsiTheme="minorHAnsi"/>
      <w:b/>
      <w:i/>
      <w:iCs/>
    </w:rPr>
  </w:style>
  <w:style w:type="character" w:customStyle="1" w:styleId="21">
    <w:name w:val="标题 1 Char"/>
    <w:basedOn w:val="18"/>
    <w:link w:val="2"/>
    <w:qFormat/>
    <w:uiPriority w:val="9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customStyle="1" w:styleId="22">
    <w:name w:val="标题 2 Char"/>
    <w:basedOn w:val="18"/>
    <w:link w:val="3"/>
    <w:semiHidden/>
    <w:qFormat/>
    <w:uiPriority w:val="9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customStyle="1" w:styleId="23">
    <w:name w:val="标题 3 Char"/>
    <w:basedOn w:val="18"/>
    <w:link w:val="4"/>
    <w:semiHidden/>
    <w:qFormat/>
    <w:uiPriority w:val="9"/>
    <w:rPr>
      <w:rFonts w:asciiTheme="majorHAnsi" w:hAnsiTheme="majorHAnsi" w:eastAsiaTheme="majorEastAsia"/>
      <w:b/>
      <w:bCs/>
      <w:sz w:val="26"/>
      <w:szCs w:val="26"/>
    </w:rPr>
  </w:style>
  <w:style w:type="character" w:customStyle="1" w:styleId="24">
    <w:name w:val="标题 4 Char"/>
    <w:basedOn w:val="18"/>
    <w:link w:val="5"/>
    <w:semiHidden/>
    <w:qFormat/>
    <w:uiPriority w:val="9"/>
    <w:rPr>
      <w:b/>
      <w:bCs/>
      <w:sz w:val="28"/>
      <w:szCs w:val="28"/>
    </w:rPr>
  </w:style>
  <w:style w:type="character" w:customStyle="1" w:styleId="25">
    <w:name w:val="标题 5 Char"/>
    <w:basedOn w:val="18"/>
    <w:link w:val="6"/>
    <w:semiHidden/>
    <w:qFormat/>
    <w:uiPriority w:val="9"/>
    <w:rPr>
      <w:b/>
      <w:bCs/>
      <w:i/>
      <w:iCs/>
      <w:sz w:val="26"/>
      <w:szCs w:val="26"/>
    </w:rPr>
  </w:style>
  <w:style w:type="character" w:customStyle="1" w:styleId="26">
    <w:name w:val="标题 6 Char"/>
    <w:basedOn w:val="18"/>
    <w:link w:val="7"/>
    <w:semiHidden/>
    <w:qFormat/>
    <w:uiPriority w:val="9"/>
    <w:rPr>
      <w:b/>
      <w:bCs/>
    </w:rPr>
  </w:style>
  <w:style w:type="character" w:customStyle="1" w:styleId="27">
    <w:name w:val="标题 7 Char"/>
    <w:basedOn w:val="18"/>
    <w:link w:val="8"/>
    <w:semiHidden/>
    <w:qFormat/>
    <w:uiPriority w:val="9"/>
    <w:rPr>
      <w:sz w:val="24"/>
      <w:szCs w:val="24"/>
    </w:rPr>
  </w:style>
  <w:style w:type="character" w:customStyle="1" w:styleId="28">
    <w:name w:val="标题 8 Char"/>
    <w:basedOn w:val="18"/>
    <w:link w:val="9"/>
    <w:semiHidden/>
    <w:qFormat/>
    <w:uiPriority w:val="9"/>
    <w:rPr>
      <w:i/>
      <w:iCs/>
      <w:sz w:val="24"/>
      <w:szCs w:val="24"/>
    </w:rPr>
  </w:style>
  <w:style w:type="character" w:customStyle="1" w:styleId="29">
    <w:name w:val="标题 9 Char"/>
    <w:basedOn w:val="18"/>
    <w:link w:val="10"/>
    <w:semiHidden/>
    <w:qFormat/>
    <w:uiPriority w:val="9"/>
    <w:rPr>
      <w:rFonts w:asciiTheme="majorHAnsi" w:hAnsiTheme="majorHAnsi" w:eastAsiaTheme="majorEastAsia"/>
    </w:rPr>
  </w:style>
  <w:style w:type="character" w:customStyle="1" w:styleId="30">
    <w:name w:val="标题 Char"/>
    <w:basedOn w:val="18"/>
    <w:link w:val="16"/>
    <w:qFormat/>
    <w:uiPriority w:val="10"/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customStyle="1" w:styleId="31">
    <w:name w:val="副标题 Char"/>
    <w:basedOn w:val="18"/>
    <w:link w:val="14"/>
    <w:qFormat/>
    <w:uiPriority w:val="11"/>
    <w:rPr>
      <w:rFonts w:asciiTheme="majorHAnsi" w:hAnsiTheme="majorHAnsi" w:eastAsiaTheme="majorEastAsia"/>
      <w:sz w:val="24"/>
      <w:szCs w:val="24"/>
    </w:rPr>
  </w:style>
  <w:style w:type="paragraph" w:styleId="32">
    <w:name w:val="No Spacing"/>
    <w:basedOn w:val="1"/>
    <w:qFormat/>
    <w:uiPriority w:val="1"/>
    <w:pPr>
      <w:widowControl/>
      <w:jc w:val="left"/>
    </w:pPr>
    <w:rPr>
      <w:rFonts w:asciiTheme="minorHAnsi" w:hAnsiTheme="minorHAnsi" w:eastAsiaTheme="minorEastAsia"/>
      <w:kern w:val="0"/>
      <w:sz w:val="24"/>
      <w:szCs w:val="32"/>
      <w:lang w:eastAsia="en-US" w:bidi="en-US"/>
    </w:rPr>
  </w:style>
  <w:style w:type="paragraph" w:styleId="33">
    <w:name w:val="List Paragraph"/>
    <w:basedOn w:val="1"/>
    <w:qFormat/>
    <w:uiPriority w:val="34"/>
    <w:pPr>
      <w:widowControl/>
      <w:ind w:left="720"/>
      <w:contextualSpacing/>
      <w:jc w:val="left"/>
    </w:pPr>
    <w:rPr>
      <w:rFonts w:asciiTheme="minorHAnsi" w:hAnsiTheme="minorHAnsi" w:eastAsiaTheme="minorEastAsia"/>
      <w:kern w:val="0"/>
      <w:sz w:val="24"/>
      <w:lang w:eastAsia="en-US" w:bidi="en-US"/>
    </w:rPr>
  </w:style>
  <w:style w:type="paragraph" w:styleId="34">
    <w:name w:val="Quote"/>
    <w:basedOn w:val="1"/>
    <w:next w:val="1"/>
    <w:link w:val="35"/>
    <w:qFormat/>
    <w:uiPriority w:val="29"/>
    <w:pPr>
      <w:widowControl/>
      <w:jc w:val="left"/>
    </w:pPr>
    <w:rPr>
      <w:rFonts w:asciiTheme="minorHAnsi" w:hAnsiTheme="minorHAnsi" w:eastAsiaTheme="minorEastAsia"/>
      <w:i/>
      <w:kern w:val="0"/>
      <w:sz w:val="24"/>
    </w:rPr>
  </w:style>
  <w:style w:type="character" w:customStyle="1" w:styleId="35">
    <w:name w:val="引用 Char"/>
    <w:basedOn w:val="18"/>
    <w:link w:val="34"/>
    <w:qFormat/>
    <w:uiPriority w:val="29"/>
    <w:rPr>
      <w:i/>
      <w:sz w:val="24"/>
      <w:szCs w:val="24"/>
    </w:rPr>
  </w:style>
  <w:style w:type="paragraph" w:styleId="36">
    <w:name w:val="Intense Quote"/>
    <w:basedOn w:val="1"/>
    <w:next w:val="1"/>
    <w:link w:val="37"/>
    <w:qFormat/>
    <w:uiPriority w:val="30"/>
    <w:pPr>
      <w:widowControl/>
      <w:ind w:left="720" w:right="720"/>
      <w:jc w:val="left"/>
    </w:pPr>
    <w:rPr>
      <w:rFonts w:asciiTheme="minorHAnsi" w:hAnsiTheme="minorHAnsi" w:eastAsiaTheme="minorEastAsia"/>
      <w:b/>
      <w:i/>
      <w:kern w:val="0"/>
      <w:sz w:val="24"/>
      <w:szCs w:val="22"/>
    </w:rPr>
  </w:style>
  <w:style w:type="character" w:customStyle="1" w:styleId="37">
    <w:name w:val="明显引用 Char"/>
    <w:basedOn w:val="18"/>
    <w:link w:val="36"/>
    <w:qFormat/>
    <w:uiPriority w:val="30"/>
    <w:rPr>
      <w:b/>
      <w:i/>
      <w:sz w:val="24"/>
    </w:rPr>
  </w:style>
  <w:style w:type="character" w:customStyle="1" w:styleId="38">
    <w:name w:val="不明显强调1"/>
    <w:qFormat/>
    <w:uiPriority w:val="19"/>
    <w:rPr>
      <w:i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9">
    <w:name w:val="明显强调1"/>
    <w:basedOn w:val="18"/>
    <w:qFormat/>
    <w:uiPriority w:val="21"/>
    <w:rPr>
      <w:b/>
      <w:i/>
      <w:sz w:val="24"/>
      <w:szCs w:val="24"/>
      <w:u w:val="single"/>
    </w:rPr>
  </w:style>
  <w:style w:type="character" w:customStyle="1" w:styleId="40">
    <w:name w:val="不明显参考1"/>
    <w:basedOn w:val="18"/>
    <w:qFormat/>
    <w:uiPriority w:val="31"/>
    <w:rPr>
      <w:sz w:val="24"/>
      <w:szCs w:val="24"/>
      <w:u w:val="single"/>
    </w:rPr>
  </w:style>
  <w:style w:type="character" w:customStyle="1" w:styleId="41">
    <w:name w:val="明显参考1"/>
    <w:basedOn w:val="18"/>
    <w:qFormat/>
    <w:uiPriority w:val="32"/>
    <w:rPr>
      <w:b/>
      <w:sz w:val="24"/>
      <w:u w:val="single"/>
    </w:rPr>
  </w:style>
  <w:style w:type="character" w:customStyle="1" w:styleId="42">
    <w:name w:val="书籍标题1"/>
    <w:basedOn w:val="18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43">
    <w:name w:val="TOC 标题1"/>
    <w:basedOn w:val="2"/>
    <w:next w:val="1"/>
    <w:semiHidden/>
    <w:unhideWhenUsed/>
    <w:qFormat/>
    <w:uiPriority w:val="39"/>
    <w:pPr>
      <w:outlineLvl w:val="9"/>
    </w:pPr>
    <w:rPr>
      <w:lang w:eastAsia="en-US" w:bidi="en-US"/>
    </w:rPr>
  </w:style>
  <w:style w:type="character" w:customStyle="1" w:styleId="44">
    <w:name w:val="页眉 Char"/>
    <w:basedOn w:val="18"/>
    <w:link w:val="13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5">
    <w:name w:val="页脚 Char"/>
    <w:basedOn w:val="18"/>
    <w:link w:val="12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6">
    <w:name w:val="批注框文本 Char"/>
    <w:basedOn w:val="18"/>
    <w:link w:val="11"/>
    <w:semiHidden/>
    <w:qFormat/>
    <w:uiPriority w:val="99"/>
    <w:rPr>
      <w:rFonts w:ascii="Times New Roman" w:hAnsi="Times New Roman" w:eastAsia="宋体"/>
      <w:kern w:val="2"/>
      <w:sz w:val="18"/>
      <w:szCs w:val="18"/>
    </w:rPr>
  </w:style>
  <w:style w:type="paragraph" w:customStyle="1" w:styleId="47">
    <w:name w:val="正文 A"/>
    <w:qFormat/>
    <w:uiPriority w:val="99"/>
    <w:pPr>
      <w:widowControl w:val="0"/>
      <w:pBdr>
        <w:top w:val="none" w:color="FFFFFF" w:sz="0" w:space="31"/>
        <w:left w:val="none" w:color="FFFFFF" w:sz="0" w:space="31"/>
        <w:bottom w:val="none" w:color="FFFFFF" w:sz="0" w:space="31"/>
        <w:right w:val="none" w:color="FFFFFF" w:sz="0" w:space="31"/>
      </w:pBdr>
      <w:jc w:val="both"/>
    </w:pPr>
    <w:rPr>
      <w:rFonts w:ascii="Arial Unicode MS" w:hAnsi="Arial Unicode MS" w:eastAsia="宋体" w:cs="Arial Unicode MS"/>
      <w:color w:val="000000"/>
      <w:kern w:val="2"/>
      <w:sz w:val="21"/>
      <w:szCs w:val="21"/>
      <w:u w:color="000000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333</Words>
  <Characters>1900</Characters>
  <Lines>15</Lines>
  <Paragraphs>4</Paragraphs>
  <TotalTime>5</TotalTime>
  <ScaleCrop>false</ScaleCrop>
  <LinksUpToDate>false</LinksUpToDate>
  <CharactersWithSpaces>2229</CharactersWithSpaces>
  <Application>WPS Office_11.1.0.9305_F1E327BC-269C-435d-A152-05C5408002CA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2018-08-15T02:06:00Z</dcterms:created>
  <dc:creator>赵 恺（预算处）</dc:creator>
  <cp:lastModifiedBy>Administrator</cp:lastModifiedBy>
  <cp:lastPrinted>2018-12-31T10:56:00Z</cp:lastPrinted>
  <dcterms:modified xsi:type="dcterms:W3CDTF">2020-01-09T04:12:33Z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2052-11.1.0.9305</vt:lpwstr>
  </property>
</Properties>
</file>