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0ACE5469" w14:textId="35972067"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新疆喀什地区泽普县民政局2019年度部门决算公开说明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88099A">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88099A">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88099A">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一）贯彻执行国家、自治区、地区关于民政工作的法律、法规、规章、政策；拟订民政事业发展规划并组织实施。（二）负责本部门党的建设、政务公开、安全保卫、保密、信访、计划生育、建议提案办理、党风廉政建设等工作。负责民政法治宣传教育；承担机关和所属单位干部人事、机构编制、工资福利等工作。（三）承担全县社会团体的登记管理和年检。（四）负责加强和完善城乡基层政权及社区治理，推动基层民主政治建设；负责城乡社区服务体系建设。（五）负责县乡两级行政区划调整、行政区域界线勘定和变更、地名命名、更名申报审核工作。（六）贯彻落实国家婚姻管理、殡葬管理和儿童收养政策，负责推进婚俗和殡葬改革；负责婚姻、殡葬、收养机构管理工作（七）负责老年人福利和养老服务业发展规划，负责养老机构和特困人员救助供养机构建设和管理，推进社会养老服务体系建设。（八）负责城乡居民最低生活保障、特困人员救助供养、临时救助。负责儿童福利、儿童收养和儿童保护工作；健全农村留守儿童关爱体系和困境儿童保障制度。（九）负责生活无着的流浪、乞讨人员救助管理工作。（十）促进慈善事业发展；指导社会捐助，监管慈善行为。（十一）指导残障福利和康复辅助器具相关工作。（十二）负责拟订社会工作发展规划，会同有关部门指导社会工作人才和志愿者队伍建设。（十三）完成县委、县人民政府交办的其他任务。第四条县民政局不设内设机构。</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新疆喀什地区泽普县民政局2019年度，实有人数19人，其中：在职人员19人，离休人员0人，退休人员0人。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从部门决算单位构成看，新疆喀什地区泽普县民政局部门决算包括：新疆喀什地区泽普县民政局部门本级决算、所属单位决算等。
    纳入新疆喀什地区泽普县民政局2019年度部门决算编制范围的单位名单见下表：
</w:t>
      </w:r>
    </w:p>
    <w:tbl>
      <w:tblPr>
        <w:tblW w:w="5000" w:type="pct"/>
        <w:tblBorders>
          <w:top w:val="single"/>
          <w:left w:val="single"/>
          <w:bottom w:val="single"/>
          <w:right w:val="single"/>
          <w:insideH w:val="single"/>
          <w:insideV w:val="single"/>
        </w:tblBorders>
      </w:tblPr>
      <w:tr>
        <w:tc>
          <w:tcPr>
            <w:tcW w:type="pct" w:w="500"/>
          </w:tcPr>
          <w:p>
            <w:pPr>
              <w:jc w:val="center"/>
            </w:pPr>
            <w:r>
              <w:rPr>
                <w:rFonts w:ascii="仿宋_GB2312" w:hAnsi="仿宋_GB2312" w:cs="仿宋_GB2312" w:eastAsia="仿宋_GB2312"/>
                <w:sz w:val="28"/>
              </w:rPr>
              <w:t>序号</w:t>
            </w:r>
          </w:p>
        </w:tc>
        <w:tc>
          <w:tcPr>
            <w:tcW w:type="pct" w:w="4000"/>
          </w:tcPr>
          <w:p>
            <w:pPr>
              <w:jc w:val="center"/>
            </w:pPr>
            <w:r>
              <w:rPr>
                <w:rFonts w:ascii="仿宋_GB2312" w:hAnsi="仿宋_GB2312" w:cs="仿宋_GB2312" w:eastAsia="仿宋_GB2312"/>
                <w:sz w:val="28"/>
              </w:rPr>
              <w:t>单位名称</w:t>
            </w:r>
          </w:p>
        </w:tc>
        <w:tc>
          <w:tcPr>
            <w:tcW w:type="pct" w:w="500"/>
          </w:tcPr>
          <w:p>
            <w:pPr>
              <w:jc w:val="center"/>
            </w:pPr>
            <w:r>
              <w:rPr>
                <w:rFonts w:ascii="仿宋_GB2312" w:hAnsi="仿宋_GB2312" w:cs="仿宋_GB2312" w:eastAsia="仿宋_GB2312"/>
                <w:sz w:val="28"/>
              </w:rPr>
              <w:t>备注</w:t>
            </w:r>
          </w:p>
        </w:tc>
      </w:tr>
      <w:tr>
        <w:tc>
          <w:tcPr>
            <w:tcW w:type="pct" w:w="500"/>
          </w:tcPr>
          <w:p>
            <w:pPr>
              <w:jc w:val="center"/>
            </w:pPr>
            <w:r>
              <w:rPr>
                <w:rFonts w:ascii="仿宋_GB2312" w:hAnsi="仿宋_GB2312" w:cs="仿宋_GB2312" w:eastAsia="仿宋_GB2312"/>
                <w:sz w:val="28"/>
              </w:rPr>
              <w:t>1</w:t>
            </w:r>
          </w:p>
        </w:tc>
        <w:tc>
          <w:tcPr>
            <w:tcW w:type="pct" w:w="4000"/>
          </w:tcPr>
          <w:p>
            <w:pPr>
              <w:jc w:val="center"/>
            </w:pPr>
            <w:r>
              <w:rPr>
                <w:rFonts w:ascii="仿宋_GB2312" w:hAnsi="仿宋_GB2312" w:cs="仿宋_GB2312" w:eastAsia="仿宋_GB2312"/>
                <w:sz w:val="28"/>
              </w:rPr>
              <w:t>新疆喀什地区泽普县儿童福利院</w:t>
            </w:r>
          </w:p>
        </w:tc>
        <w:tc>
          <w:tcPr>
            <w:tcW w:type="pct" w:w="500"/>
          </w:tcPr>
          <w:p>
            <w:pPr>
              <w:jc w:val="center"/>
            </w:pPr>
            <w:r>
              <w:rPr>
                <w:rFonts w:ascii="仿宋_GB2312" w:hAnsi="仿宋_GB2312" w:cs="仿宋_GB2312" w:eastAsia="仿宋_GB2312"/>
                <w:sz w:val="28"/>
              </w:rPr>
              <w:t>无</w:t>
            </w:r>
          </w:p>
        </w:tc>
      </w:tr>
    </w:tbl>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15,320.92万元，与上年相比，增加4,781.57万元，增长45.37%，主要原因是：2017年孤儿生活费结余，未安排2018年孤儿生活费，本年度按实有人数，按标准拨付。本年支出16,364.39万元，与上年相比，增加3,942.01万元，增长31.73%，主要原因是：2017年孤儿生活费结余，未安排2018年孤儿生活费，本年度按实有人数，按标准拨付。</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2019年度本年收入15,320.92万元，其中：财政拨款收入15,320.92万元，占100%；上级补助收入0万元，占0%；事业收入0万元，占0%；经营收入0万元，占0%；附属单位上缴收入0万元，占0%；其他收入0万元，占0%。</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2019年度本年支出16,364.39万元，其中：基本支出333.64万元，占2.04%；项目支出16,030.76万元，占97.96%；上缴上级支出0万元，占0%；经营支出0万元，占0%；对附属单位补助支出0万元，占0%。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15,320.92万元，与上年相比，增加4,781.57万元，增长45.37%，主要原因是：困难群众救助补助资金人数及标准增加，相应专项收入增加。财政拨款支出16,364.39万元，与上年相比，增加3,942.01万元，增长31.73%，主要原因是：困难群众救助补助资金人数及标准增加，相应专项收入增加，老年养护院项目资金、社会福利事业改造经费支出。</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14,226.39万元，决算数15,320.92万元，预决算差异率7.69%，主要原因是：困难群众救助补助资金人数及标准增加，相应专项收入增加。财政拨款支出年初预算数14,226.39万元，决算数16,364.39万元，预决算差异率15.03%，主要原因是：困难群众救助补助资金人数及标准增加，相应专项收入增加，老年养护院项目资金、社会福利事业改造经费支出。</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2019年度一般公共预算财政拨款支出15,443.30万元。按功能分类科目项级科目公开，其中：</w:t>
      </w:r>
    </w:p>
    <w:p>
      <w:pPr>
        <w:ind w:firstLine="480"/>
        <w:jc w:val="both"/>
      </w:pPr>
      <w:r>
        <w:rPr>
          <w:rFonts w:ascii="仿宋_GB2312" w:hAnsi="仿宋_GB2312" w:cs="仿宋_GB2312" w:eastAsia="仿宋_GB2312"/>
          <w:b w:val="false"/>
          <w:sz w:val="32"/>
        </w:rPr>
        <w:t xml:space="preserve">   2080201行政运行支出219.36万元；</w:t>
      </w:r>
    </w:p>
    <w:p>
      <w:pPr>
        <w:ind w:firstLine="480"/>
        <w:jc w:val="both"/>
      </w:pPr>
      <w:r>
        <w:rPr>
          <w:rFonts w:ascii="仿宋_GB2312" w:hAnsi="仿宋_GB2312" w:cs="仿宋_GB2312" w:eastAsia="仿宋_GB2312"/>
          <w:b w:val="false"/>
          <w:sz w:val="32"/>
        </w:rPr>
        <w:t xml:space="preserve">   2080207行政区划和地名管理支出46.01万元；</w:t>
      </w:r>
    </w:p>
    <w:p>
      <w:pPr>
        <w:ind w:firstLine="480"/>
        <w:jc w:val="both"/>
      </w:pPr>
      <w:r>
        <w:rPr>
          <w:rFonts w:ascii="仿宋_GB2312" w:hAnsi="仿宋_GB2312" w:cs="仿宋_GB2312" w:eastAsia="仿宋_GB2312"/>
          <w:b w:val="false"/>
          <w:sz w:val="32"/>
        </w:rPr>
        <w:t xml:space="preserve">   2080505机关事业单位基本养老保险缴费支出27.52万元；</w:t>
      </w:r>
    </w:p>
    <w:p>
      <w:pPr>
        <w:ind w:firstLine="480"/>
        <w:jc w:val="both"/>
      </w:pPr>
      <w:r>
        <w:rPr>
          <w:rFonts w:ascii="仿宋_GB2312" w:hAnsi="仿宋_GB2312" w:cs="仿宋_GB2312" w:eastAsia="仿宋_GB2312"/>
          <w:b w:val="false"/>
          <w:sz w:val="32"/>
        </w:rPr>
        <w:t xml:space="preserve">   2080802伤残抚恤支出34.20万元；</w:t>
      </w:r>
    </w:p>
    <w:p>
      <w:pPr>
        <w:ind w:firstLine="480"/>
        <w:jc w:val="both"/>
      </w:pPr>
      <w:r>
        <w:rPr>
          <w:rFonts w:ascii="仿宋_GB2312" w:hAnsi="仿宋_GB2312" w:cs="仿宋_GB2312" w:eastAsia="仿宋_GB2312"/>
          <w:b w:val="false"/>
          <w:sz w:val="32"/>
        </w:rPr>
        <w:t xml:space="preserve">   2080803在乡复员、退伍军人生活补助支出89.14万元；</w:t>
      </w:r>
    </w:p>
    <w:p>
      <w:pPr>
        <w:ind w:firstLine="480"/>
        <w:jc w:val="both"/>
      </w:pPr>
      <w:r>
        <w:rPr>
          <w:rFonts w:ascii="仿宋_GB2312" w:hAnsi="仿宋_GB2312" w:cs="仿宋_GB2312" w:eastAsia="仿宋_GB2312"/>
          <w:b w:val="false"/>
          <w:sz w:val="32"/>
        </w:rPr>
        <w:t xml:space="preserve">   2080902军队移交政府的离退休人员安置支出8.73万元；</w:t>
      </w:r>
    </w:p>
    <w:p>
      <w:pPr>
        <w:ind w:firstLine="480"/>
        <w:jc w:val="both"/>
      </w:pPr>
      <w:r>
        <w:rPr>
          <w:rFonts w:ascii="仿宋_GB2312" w:hAnsi="仿宋_GB2312" w:cs="仿宋_GB2312" w:eastAsia="仿宋_GB2312"/>
          <w:b w:val="false"/>
          <w:sz w:val="32"/>
        </w:rPr>
        <w:t xml:space="preserve">   2080999其他退役安置支出25.21万元；</w:t>
      </w:r>
    </w:p>
    <w:p>
      <w:pPr>
        <w:ind w:firstLine="480"/>
        <w:jc w:val="both"/>
      </w:pPr>
      <w:r>
        <w:rPr>
          <w:rFonts w:ascii="仿宋_GB2312" w:hAnsi="仿宋_GB2312" w:cs="仿宋_GB2312" w:eastAsia="仿宋_GB2312"/>
          <w:b w:val="false"/>
          <w:sz w:val="32"/>
        </w:rPr>
        <w:t xml:space="preserve">   2081001儿童福利支出152.52万元；</w:t>
      </w:r>
    </w:p>
    <w:p>
      <w:pPr>
        <w:ind w:firstLine="480"/>
        <w:jc w:val="both"/>
      </w:pPr>
      <w:r>
        <w:rPr>
          <w:rFonts w:ascii="仿宋_GB2312" w:hAnsi="仿宋_GB2312" w:cs="仿宋_GB2312" w:eastAsia="仿宋_GB2312"/>
          <w:b w:val="false"/>
          <w:sz w:val="32"/>
        </w:rPr>
        <w:t xml:space="preserve">   2081002老年福利支出29.34万元；</w:t>
      </w:r>
    </w:p>
    <w:p>
      <w:pPr>
        <w:ind w:firstLine="480"/>
        <w:jc w:val="both"/>
      </w:pPr>
      <w:r>
        <w:rPr>
          <w:rFonts w:ascii="仿宋_GB2312" w:hAnsi="仿宋_GB2312" w:cs="仿宋_GB2312" w:eastAsia="仿宋_GB2312"/>
          <w:b w:val="false"/>
          <w:sz w:val="32"/>
        </w:rPr>
        <w:t xml:space="preserve">   2081005社会福利事业单位支出104.53万元；</w:t>
      </w:r>
    </w:p>
    <w:p>
      <w:pPr>
        <w:ind w:firstLine="480"/>
        <w:jc w:val="both"/>
      </w:pPr>
      <w:r>
        <w:rPr>
          <w:rFonts w:ascii="仿宋_GB2312" w:hAnsi="仿宋_GB2312" w:cs="仿宋_GB2312" w:eastAsia="仿宋_GB2312"/>
          <w:b w:val="false"/>
          <w:sz w:val="32"/>
        </w:rPr>
        <w:t xml:space="preserve">   2081099其他社会福利支出336.09万元；</w:t>
      </w:r>
    </w:p>
    <w:p>
      <w:pPr>
        <w:ind w:firstLine="480"/>
        <w:jc w:val="both"/>
      </w:pPr>
      <w:r>
        <w:rPr>
          <w:rFonts w:ascii="仿宋_GB2312" w:hAnsi="仿宋_GB2312" w:cs="仿宋_GB2312" w:eastAsia="仿宋_GB2312"/>
          <w:b w:val="false"/>
          <w:sz w:val="32"/>
        </w:rPr>
        <w:t xml:space="preserve">   2082002流浪乞讨人员救助支出57万元；</w:t>
      </w:r>
    </w:p>
    <w:p>
      <w:pPr>
        <w:ind w:firstLine="480"/>
        <w:jc w:val="both"/>
      </w:pPr>
      <w:r>
        <w:rPr>
          <w:rFonts w:ascii="仿宋_GB2312" w:hAnsi="仿宋_GB2312" w:cs="仿宋_GB2312" w:eastAsia="仿宋_GB2312"/>
          <w:b w:val="false"/>
          <w:sz w:val="32"/>
        </w:rPr>
        <w:t xml:space="preserve">   2082102农村特困人员救助供养支出86万元；</w:t>
      </w:r>
    </w:p>
    <w:p>
      <w:pPr>
        <w:ind w:firstLine="480"/>
        <w:jc w:val="both"/>
      </w:pPr>
      <w:r>
        <w:rPr>
          <w:rFonts w:ascii="仿宋_GB2312" w:hAnsi="仿宋_GB2312" w:cs="仿宋_GB2312" w:eastAsia="仿宋_GB2312"/>
          <w:b w:val="false"/>
          <w:sz w:val="32"/>
        </w:rPr>
        <w:t xml:space="preserve">   2089901其他社会保障和就业支出13,311.97万元；</w:t>
      </w:r>
    </w:p>
    <w:p>
      <w:pPr>
        <w:ind w:firstLine="480"/>
        <w:jc w:val="both"/>
      </w:pPr>
      <w:r>
        <w:rPr>
          <w:rFonts w:ascii="仿宋_GB2312" w:hAnsi="仿宋_GB2312" w:cs="仿宋_GB2312" w:eastAsia="仿宋_GB2312"/>
          <w:b w:val="false"/>
          <w:sz w:val="32"/>
        </w:rPr>
        <w:t xml:space="preserve">   2101301城乡医疗救助支出453.56万元；</w:t>
      </w:r>
    </w:p>
    <w:p>
      <w:pPr>
        <w:ind w:firstLine="480"/>
        <w:jc w:val="both"/>
      </w:pPr>
      <w:r>
        <w:rPr>
          <w:rFonts w:ascii="仿宋_GB2312" w:hAnsi="仿宋_GB2312" w:cs="仿宋_GB2312" w:eastAsia="仿宋_GB2312"/>
          <w:b w:val="false"/>
          <w:sz w:val="32"/>
        </w:rPr>
        <w:t xml:space="preserve">   2101401优抚对象医疗补助支出16万元；</w:t>
      </w:r>
    </w:p>
    <w:p>
      <w:pPr>
        <w:ind w:firstLine="480"/>
        <w:jc w:val="both"/>
      </w:pPr>
      <w:r>
        <w:rPr>
          <w:rFonts w:ascii="仿宋_GB2312" w:hAnsi="仿宋_GB2312" w:cs="仿宋_GB2312" w:eastAsia="仿宋_GB2312"/>
          <w:b w:val="false"/>
          <w:sz w:val="32"/>
        </w:rPr>
        <w:t xml:space="preserve">   2210201住房公积金支出20.19万元；</w:t>
      </w:r>
    </w:p>
    <w:p>
      <w:pPr>
        <w:ind w:firstLine="480"/>
        <w:jc w:val="both"/>
      </w:pPr>
      <w:r>
        <w:rPr>
          <w:rFonts w:ascii="仿宋_GB2312" w:hAnsi="仿宋_GB2312" w:cs="仿宋_GB2312" w:eastAsia="仿宋_GB2312"/>
          <w:b w:val="false"/>
          <w:sz w:val="32"/>
        </w:rPr>
        <w:t xml:space="preserve">   2240701中央自然灾害生活补助支出425.94万元。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2019年度一般公共预算财政拨款基本支出333.64万元，其中：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人员经费259.76万元，包括：基本工资、津贴补贴、绩效工资、机关事业单位基本养老保险缴费、职工基本医疗保险缴费、公务员医疗补助缴费、其他社会保障缴费、住房公积金、退休费、生活补助。</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公用经费73.87万元，包括：办公费、水费、取暖费、差旅费、维修（护）费、公务用车运行维护费、其他交通费用。</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5.93万元，比上年减少0.18万元，降低2.95%，主要原因是按照八项规定，厉行节约压减开支。其中，因公出国（境）费支出0万元，占0%，比上年增加0万元，增长0%，主要原因是无因公出国境费；公务用车购置及运行维护费支出5.93万元，占100%，比上年减少0.18万元，降低2.95%，主要原因是按照八项规定，厉行节约压减开支；公务接待费支出0万元，占0%，比上年增加0万元，增长0%，主要原因是无公务接待费。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因公出国（境）费支出0万元，开支内容包括：无因公出国境费。单位全年安排的因公出国（境）团组0个，因公出国（境）0人次。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公务用车购置及运行维护费5.93万元，其中，公务用车购置费0万元，公务用车运行维护费5.93万元。公务用车运行维护费开支内容包括汽车油料、维护费。公务用车购置数0辆，公务用车保有量4辆。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公务接待费0万元，开支内容包括无公务接待费。单位全年安排的国内公务接待0批次，0人次。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5.93万元，决算数5.93万元，预决算差异率0%，主要原因是：无差异。其中：因公出国（境）费预算数0万元，决算数0万元，预决算差异率0%，主要原因是：无因公出国境费；公务用车购置费预算数0万元，决算数0万元，预决算差异率0%，主要原因是：无公务用车购置费；公务用车运行费预算数5.93万元，决算数5.93万元，预决算差异率0%，主要原因是：无差异；公务接待费预算数0万元，决算数0万元，预决算差异率0%，主要原因是：无公务接待费。</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2019年度政府性基金预算财政拨款收入648.50万元，与上年相比，增加622.50万元，增长2394.23%，主要原因是：主要用于彩票公益金安排的残疾补贴、高龄补贴、双集中等支出。政府性基金预算支出921.09万元，与上年相比，增加797.68万元，增长646.37%，主要原因是：上年度结余在本年度已形成支出。</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2019年度新疆喀什地区泽普县民政局机关运行经费支出58.76万元，比上年增加38.30万元，增长187.19%，主要原因是用车维护费增加其他单位：                                                                           其他单位：泽普县儿童福利院（事业单位）经费15.12万元，比上年增加5.57万元，增长58%，主要原因是用于福利用于支付敬老院修缮维修费用及支付历年欠款。</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2019年度政府采购支出总额211.40万元，其中：政府采购货物支出211.40万元、政府采购工程支出0万元、政府采购服务支出0万元。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授予中小企业合同金额211.40万元，占政府采购支出总额的100%，其中：授予小微企业合同金额211.40万元，占政府采购支出总额的100%。</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14,112.77（平方米），价值2,836.93万元。车辆4辆，价值58.54万元，其中：副部（省）级及以上领导用车0辆、主要领导干部用车0辆、机要通信用车0辆、应急保障用车0辆、执法执勤用车0辆、特种专业技术用车0辆、离退休干部用车0辆、其他用车4辆，其他用车主要是：救灾车辆、殡葬车辆；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19个，共涉及资金15749.21万元。预算绩效管理取得的成效：无。发现的问题及原因：无。下一步改进措施：无。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5808" w14:textId="77777777" w:rsidR="0088099A" w:rsidRDefault="0088099A">
      <w:r>
        <w:separator/>
      </w:r>
    </w:p>
  </w:endnote>
  <w:endnote w:type="continuationSeparator" w:id="0">
    <w:p w14:paraId="1F226AA3" w14:textId="77777777" w:rsidR="0088099A" w:rsidRDefault="0088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E4CB" w14:textId="77777777" w:rsidR="0088099A" w:rsidRDefault="0088099A">
      <w:r>
        <w:separator/>
      </w:r>
    </w:p>
  </w:footnote>
  <w:footnote w:type="continuationSeparator" w:id="0">
    <w:p w14:paraId="30BF4204" w14:textId="77777777" w:rsidR="0088099A" w:rsidRDefault="00880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ocumentProtection w:enforcement="1" w:edit="comments" w:salt="aQfJvZfX7fBjC7wvR8L8cw==" w:hash="V//yiO+H8/Q5RD+O16EHAP/zylc="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2020-09-23T11:32:00Z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