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新疆喀什地区泽普县人力资源和社会保障局2019年度部门决算公开说明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主要负责全县干部人事调动，各单位工资审批，干部档案管理、劳动监察、培训、职业技能鉴定、就业、农村富余劳动力外出务工等各项工作，人社局由县人民政府领导，承担县人民政府委托的部分行政职能，业务上接受有关部门对口指导。</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新疆喀什地区泽普县人力资源和社会保障局2019年度，实有人数49人，其中：在职人员49人，离休人员0人，退休人员0人。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从部门决算单位构成看，新疆喀什地区泽普县人力资源和社会保障局部门决算包括：新疆喀什地区泽普县人力资源和社会保障局决算。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6,053.87万元，与上年相比，增加3,486.27万元，增长135.78%，主要原因是：2019年上级拨入就业补助资金增加，收入增加。本年支出6,053.87万元，与上年相比，增加3,472.97万元，增长134.56%，主要原因是：2019年上级拨入就业补助资金增加，支出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2019年度本年收入6,053.87万元，其中：财政拨款收入6,053.87万元，占100%；上级补助收入0万元，占0%；事业收入0万元，占0%；经营收入0万元，占0%；附属单位上缴收入0万元，占0%；其他收入0万元，占0%。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2019年度本年支出6,053.87万元，其中：基本支出578.28万元，占9.55%；项目支出5,475.59万元，占90.45%；上缴上级支出0万元，占0%；经营支出0万元，占0%；对附属单位补助支出0万元，占0%。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6,053.87万元，与上年相比，增加3,486.27万元，增长135.78%，主要原因是：2019年上级拨入就业补助资金增加，收入增加。财政拨款支出6,053.87万元，与上年相比，增加3,472.97万元，增长134.56%，主要原因是：2019年上级拨入就业补助资金增加，支出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4,205.84万元，决算数6,053.87万元，预决算差异率43.94%，主要原因是：2019年上级拨入就业补助资金增加，决算数收入增加，导致预决算差异率为43.94%。财政拨款支出年初预算数4,205.84万元，决算数6,053.87万元，预决算差异率43.94%，主要原因是：2019年上级拨入就业补助资金增加，决算数支出增加，导致预决算差异率为43.94%。</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2019年度一般公共预算财政拨款支出6,053.87万元。按功能分类科目项级科目公开，其中：</w:t>
      </w:r>
    </w:p>
    <w:p>
      <w:pPr>
        <w:ind w:firstLine="480"/>
        <w:jc w:val="both"/>
      </w:pPr>
      <w:r>
        <w:rPr>
          <w:rFonts w:ascii="仿宋_GB2312" w:hAnsi="仿宋_GB2312" w:cs="仿宋_GB2312" w:eastAsia="仿宋_GB2312"/>
          <w:b w:val="false"/>
          <w:sz w:val="32"/>
        </w:rPr>
        <w:t xml:space="preserve">   2011001行政运行支出188.06万元；</w:t>
      </w:r>
    </w:p>
    <w:p>
      <w:pPr>
        <w:ind w:firstLine="480"/>
        <w:jc w:val="both"/>
      </w:pPr>
      <w:r>
        <w:rPr>
          <w:rFonts w:ascii="仿宋_GB2312" w:hAnsi="仿宋_GB2312" w:cs="仿宋_GB2312" w:eastAsia="仿宋_GB2312"/>
          <w:b w:val="false"/>
          <w:sz w:val="32"/>
        </w:rPr>
        <w:t xml:space="preserve">   2011050事业运行支出287.55万元；</w:t>
      </w:r>
    </w:p>
    <w:p>
      <w:pPr>
        <w:ind w:firstLine="480"/>
        <w:jc w:val="both"/>
      </w:pPr>
      <w:r>
        <w:rPr>
          <w:rFonts w:ascii="仿宋_GB2312" w:hAnsi="仿宋_GB2312" w:cs="仿宋_GB2312" w:eastAsia="仿宋_GB2312"/>
          <w:b w:val="false"/>
          <w:sz w:val="32"/>
        </w:rPr>
        <w:t xml:space="preserve">   2011099其他人力资源事务支出31.61万元；</w:t>
      </w:r>
    </w:p>
    <w:p>
      <w:pPr>
        <w:ind w:firstLine="480"/>
        <w:jc w:val="both"/>
      </w:pPr>
      <w:r>
        <w:rPr>
          <w:rFonts w:ascii="仿宋_GB2312" w:hAnsi="仿宋_GB2312" w:cs="仿宋_GB2312" w:eastAsia="仿宋_GB2312"/>
          <w:b w:val="false"/>
          <w:sz w:val="32"/>
        </w:rPr>
        <w:t xml:space="preserve">   2080505机关事业单位基本养老保险缴费支出58.89万元；</w:t>
      </w:r>
    </w:p>
    <w:p>
      <w:pPr>
        <w:ind w:firstLine="480"/>
        <w:jc w:val="both"/>
      </w:pPr>
      <w:r>
        <w:rPr>
          <w:rFonts w:ascii="仿宋_GB2312" w:hAnsi="仿宋_GB2312" w:cs="仿宋_GB2312" w:eastAsia="仿宋_GB2312"/>
          <w:b w:val="false"/>
          <w:sz w:val="32"/>
        </w:rPr>
        <w:t xml:space="preserve">   2080799其他就业补助支出3,660.14万元；</w:t>
      </w:r>
    </w:p>
    <w:p>
      <w:pPr>
        <w:ind w:firstLine="480"/>
        <w:jc w:val="both"/>
      </w:pPr>
      <w:r>
        <w:rPr>
          <w:rFonts w:ascii="仿宋_GB2312" w:hAnsi="仿宋_GB2312" w:cs="仿宋_GB2312" w:eastAsia="仿宋_GB2312"/>
          <w:b w:val="false"/>
          <w:sz w:val="32"/>
        </w:rPr>
        <w:t xml:space="preserve">   2150204纺织业支出1,076.84万元；</w:t>
      </w:r>
    </w:p>
    <w:p>
      <w:pPr>
        <w:ind w:firstLine="480"/>
        <w:jc w:val="both"/>
      </w:pPr>
      <w:r>
        <w:rPr>
          <w:rFonts w:ascii="仿宋_GB2312" w:hAnsi="仿宋_GB2312" w:cs="仿宋_GB2312" w:eastAsia="仿宋_GB2312"/>
          <w:b w:val="false"/>
          <w:sz w:val="32"/>
        </w:rPr>
        <w:t xml:space="preserve">   2150299其他制造业支出707万元；</w:t>
      </w:r>
    </w:p>
    <w:p>
      <w:pPr>
        <w:ind w:firstLine="480"/>
        <w:jc w:val="both"/>
      </w:pPr>
      <w:r>
        <w:rPr>
          <w:rFonts w:ascii="仿宋_GB2312" w:hAnsi="仿宋_GB2312" w:cs="仿宋_GB2312" w:eastAsia="仿宋_GB2312"/>
          <w:b w:val="false"/>
          <w:sz w:val="32"/>
        </w:rPr>
        <w:t xml:space="preserve">   2210201住房公积金支出43.77万元。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2019年度一般公共预算财政拨款基本支出578.28万元，其中：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554.37万元，包括：基本工资、津贴补贴、绩效工资、机关事业单位基本养老保险缴费、职工基本医疗保险缴费、公务员医疗补助缴费、其他社会保障缴费、住房公积金、其他工资福利支出、退休费、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公用经费23.91万元，包括：办公费、印刷费、电费、邮电费、取暖费、差旅费、公务用车运行维护费。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7万元，比上年增加0.10万元，增长1.45%，主要原因是2019年下乡督导就业工作用车次数增加，支出增加。其中，因公出国（境）费支出0万元，占0%，比上年增加0万元，增长0%，主要原因是近年来，单位无因公出国（境）费支出。；公务用车购置及运行维护费支出7万元，占100%，比上年增加0.10万元，增长1.45%，主要原因是2019年下乡督导就业工作用车次数增加，支出增加。；公务接待费支出0万元，占0%，比上年增加0万元，增长0%，主要原因是单位严格执行中央八项规定精神，无公务接待支出。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因公出国（境）费支出0万元，开支内容包括：近年来，单位无因公出国（境）费支出。单位全年安排的因公出国（境）团组0个，因公出国（境）0人次。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7万元，其中，公务用车购置费0万元，公务用车运行维护费7万元。公务用车运行维护费开支内容包括公务用车运行维护费开支主要包括：车辆油料费、维护费、过路费、车辆保险费等。公务用车购置数0辆，公务用车保有量4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公务接待费0万元，开支内容包括单位严格执行中央八项规定精神，无公务接待支出。单位全年安排的国内公务接待0批次，0人次。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7万元，决算数7万元，预决算差异率0%，主要原因是：单位严格执行“三公”经费一般公共预决算支出，预决算差异率为0%。其中：因公出国（境）费预算数0万元，决算数0万元，预决算差异率0%，主要原因是：近年来，单位无因公出国（境）费支出。；公务用车购置费预算数0万元，决算数0万元，预决算差异率0%，主要原因是：单位严格执行“三公”经费支出预决算要求，预决算差异率为0%。；公务用车运行费预算数7万元，决算数7万元，预决算差异率0%，主要原因是：单位严格执行“三公”经费一般公共预决算支出，预决算差异率为0%。；公务接待费预算数0万元，决算数0万元，预决算差异率0%，主要原因是：单位严格执行中央八项规定精神，无公务接待支出。</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泽普县人力资源和社会保障局机关运行经费支出23.91万元，比上年减少41.23万元，降低63.29%，主要原因是2019年度喀什地区人力资源和社会保障局机关运行经费支出23.91万元，比上年减少41.23万元，降低63.29%，主要原因是2019年我局无赴内地招生等费用支出。</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2019年度政府采购支出总额198.89万元，其中：政府采购货物支出12.96万元、政府采购工程支出0万元、政府采购服务支出185.92万元。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授予中小企业合同金额198.89万元，占政府采购支出总额的100%，其中：授予小微企业合同金额198.89万元，占政府采购支出总额的100%。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11,996.11（平方米），价值1,809.51万元。车辆4辆，价值46.55万元，其中：副部（省）级及以上领导用车0辆、主要领导干部用车0辆、机要通信用车0辆、应急保障用车0辆、执法执勤用车0辆、特种专业技术用车0辆、离退休干部用车0辆、其他用车4辆，其他用车主要是：其他用车主要是：2辆公务用车，1辆劳动监察执法用车，1辆长安小货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2个，共涉及资金5475.59万元。预算绩效管理取得的成效：主要产出和效果：1、城镇新增就业6248人；2、就业困难人员就业345人；3、新增创业328人，带动就业572人；4、城镇登记失业率4%以内；5、当年高校毕业生就业率达到85%以上；6、全年职业技能培训12324人；7、农村富余劳动力转移4.08万人次；8、纺织服装企业新招录员工岗前培训2694人；9、劳动密集型企业新招录员工岗前培训4946人。发现的问题及原因：发现的问题和原因：各乡镇对职业技能培训工作重视程度不够，统筹不力，协调不畅。下一步改进措施：下一步改进措施：1、加强组织领导，就业工作由人社局主要领导带头抓、分管领导直接抓、一级抓一级、层层抓落实的工作格局，确保就业工作开展扎实有效；2、通过召开乡镇劳动保障工作动员会，进一步明确工作职责，责任到人，切实提高各乡镇场对培训转移就业工作重要性的认识。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voovX911DU+975iUsjXHsw==" w:hash="t1hm628NbMveXkDLAW9LcEMmPQk="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