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80" w:lineRule="auto"/>
        <w:rPr>
          <w:rFonts w:ascii="仿宋" w:hAnsi="仿宋" w:eastAsia="仿宋" w:cs="宋体"/>
          <w:color w:val="333333"/>
          <w:sz w:val="32"/>
          <w:szCs w:val="32"/>
        </w:rPr>
      </w:pPr>
      <w:r>
        <w:rPr>
          <w:rFonts w:hint="eastAsia" w:ascii="仿宋" w:hAnsi="仿宋" w:eastAsia="仿宋" w:cs="宋体"/>
          <w:color w:val="333333"/>
          <w:sz w:val="32"/>
          <w:szCs w:val="32"/>
        </w:rPr>
        <w:t>附件7</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r>
        <w:rPr>
          <w:rFonts w:hint="eastAsia" w:ascii="方正小标宋_GBK" w:hAnsi="华文中宋" w:eastAsia="方正小标宋_GBK" w:cs="宋体"/>
          <w:b/>
          <w:kern w:val="0"/>
          <w:sz w:val="48"/>
          <w:szCs w:val="48"/>
        </w:rPr>
        <w:t>喀什地区</w:t>
      </w:r>
    </w:p>
    <w:p>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泽普县</w:t>
      </w:r>
      <w:r>
        <w:rPr>
          <w:rFonts w:hint="eastAsia" w:ascii="方正小标宋_GBK" w:hAnsi="Arial" w:eastAsia="方正小标宋_GBK" w:cs="Arial"/>
          <w:b/>
          <w:sz w:val="44"/>
          <w:szCs w:val="44"/>
          <w:lang w:eastAsia="zh-CN"/>
        </w:rPr>
        <w:t>重大公共卫生专项</w:t>
      </w:r>
      <w:r>
        <w:rPr>
          <w:rFonts w:hint="eastAsia" w:ascii="方正小标宋_GBK" w:hAnsi="Arial" w:eastAsia="方正小标宋_GBK" w:cs="Arial"/>
          <w:b/>
          <w:sz w:val="44"/>
          <w:szCs w:val="44"/>
        </w:rPr>
        <w:t>补助项目中央</w:t>
      </w:r>
      <w:r>
        <w:rPr>
          <w:rFonts w:hint="eastAsia" w:ascii="方正小标宋_GBK" w:hAnsi="宋体" w:eastAsia="方正小标宋_GBK" w:cs="宋体"/>
          <w:b/>
          <w:sz w:val="44"/>
          <w:szCs w:val="44"/>
        </w:rPr>
        <w:t>专项转移支付绩效自评报告</w:t>
      </w:r>
      <w:r>
        <w:rPr>
          <w:rFonts w:hint="eastAsia" w:ascii="方正小标宋_GBK" w:hAnsi="华文中宋" w:eastAsia="方正小标宋_GBK" w:cs="宋体"/>
          <w:b/>
          <w:kern w:val="0"/>
          <w:sz w:val="48"/>
          <w:szCs w:val="48"/>
        </w:rPr>
        <w:t xml:space="preserve"> </w:t>
      </w:r>
    </w:p>
    <w:p>
      <w:pPr>
        <w:spacing w:line="540" w:lineRule="exact"/>
        <w:jc w:val="center"/>
        <w:rPr>
          <w:rFonts w:hAnsi="宋体" w:eastAsia="仿宋_GB2312" w:cs="宋体"/>
          <w:b/>
          <w:bCs/>
          <w:kern w:val="0"/>
          <w:sz w:val="36"/>
          <w:szCs w:val="36"/>
        </w:rPr>
      </w:pPr>
      <w:r>
        <w:rPr>
          <w:rFonts w:hint="eastAsia" w:hAnsi="宋体" w:eastAsia="仿宋_GB2312" w:cs="宋体"/>
          <w:b/>
          <w:bCs/>
          <w:kern w:val="0"/>
          <w:sz w:val="36"/>
          <w:szCs w:val="36"/>
        </w:rPr>
        <w:t>（</w:t>
      </w:r>
      <w:r>
        <w:rPr>
          <w:rFonts w:hint="eastAsia" w:hAnsi="宋体" w:eastAsia="仿宋_GB2312" w:cs="宋体"/>
          <w:b/>
          <w:bCs/>
          <w:kern w:val="0"/>
          <w:sz w:val="36"/>
          <w:szCs w:val="36"/>
          <w:lang w:val="en-US" w:eastAsia="zh-CN"/>
        </w:rPr>
        <w:t>2019</w:t>
      </w:r>
      <w:r>
        <w:rPr>
          <w:rFonts w:hint="eastAsia" w:hAnsi="宋体" w:eastAsia="仿宋_GB2312" w:cs="宋体"/>
          <w:b/>
          <w:bCs/>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left="3240" w:hanging="3240" w:hangingChars="900"/>
        <w:jc w:val="left"/>
        <w:rPr>
          <w:rFonts w:hint="eastAsia" w:hAnsi="宋体" w:eastAsia="仿宋_GB2312" w:cs="宋体"/>
          <w:kern w:val="0"/>
          <w:sz w:val="28"/>
          <w:szCs w:val="28"/>
        </w:rPr>
      </w:pPr>
      <w:r>
        <w:rPr>
          <w:rFonts w:hint="eastAsia" w:hAnsi="宋体" w:eastAsia="仿宋_GB2312" w:cs="宋体"/>
          <w:kern w:val="0"/>
          <w:sz w:val="36"/>
          <w:szCs w:val="36"/>
        </w:rPr>
        <w:t xml:space="preserve">     </w:t>
      </w:r>
      <w:r>
        <w:rPr>
          <w:rFonts w:hint="eastAsia" w:hAnsi="宋体" w:eastAsia="仿宋_GB2312" w:cs="宋体"/>
          <w:kern w:val="0"/>
          <w:sz w:val="28"/>
          <w:szCs w:val="28"/>
        </w:rPr>
        <w:t>项目名称：</w:t>
      </w:r>
      <w:r>
        <w:rPr>
          <w:rFonts w:hint="eastAsia" w:ascii="仿宋" w:hAnsi="仿宋" w:eastAsia="仿宋" w:cs="仿宋"/>
          <w:kern w:val="0"/>
          <w:sz w:val="32"/>
          <w:szCs w:val="32"/>
          <w:lang w:val="zh-TW" w:eastAsia="zh-CN"/>
        </w:rPr>
        <w:t>重大公共卫生专项</w:t>
      </w:r>
      <w:r>
        <w:rPr>
          <w:rFonts w:hint="eastAsia" w:ascii="仿宋" w:hAnsi="仿宋" w:eastAsia="仿宋" w:cs="仿宋"/>
          <w:kern w:val="0"/>
          <w:sz w:val="32"/>
          <w:szCs w:val="32"/>
          <w:lang w:val="zh-TW"/>
        </w:rPr>
        <w:t>项目</w:t>
      </w:r>
      <w:r>
        <w:rPr>
          <w:rFonts w:hint="eastAsia" w:hAnsi="宋体" w:eastAsia="仿宋_GB2312" w:cs="宋体"/>
          <w:kern w:val="0"/>
          <w:sz w:val="32"/>
          <w:szCs w:val="32"/>
          <w:lang w:eastAsia="zh-CN"/>
        </w:rPr>
        <w:t>整体支出自评报告</w:t>
      </w:r>
    </w:p>
    <w:p>
      <w:pPr>
        <w:spacing w:line="700" w:lineRule="exact"/>
        <w:jc w:val="left"/>
        <w:rPr>
          <w:rFonts w:hint="eastAsia" w:hAnsi="宋体" w:eastAsia="仿宋_GB2312" w:cs="宋体"/>
          <w:kern w:val="0"/>
          <w:sz w:val="36"/>
          <w:szCs w:val="36"/>
          <w:lang w:eastAsia="zh-CN"/>
        </w:rPr>
      </w:pPr>
      <w:r>
        <w:rPr>
          <w:rFonts w:hint="eastAsia" w:hAnsi="宋体" w:eastAsia="仿宋_GB2312" w:cs="宋体"/>
          <w:kern w:val="0"/>
          <w:sz w:val="36"/>
          <w:szCs w:val="36"/>
        </w:rPr>
        <w:t xml:space="preserve">     部门单位名称：</w:t>
      </w:r>
      <w:r>
        <w:rPr>
          <w:rFonts w:hint="eastAsia" w:hAnsi="宋体" w:eastAsia="仿宋_GB2312" w:cs="宋体"/>
          <w:kern w:val="0"/>
          <w:sz w:val="36"/>
          <w:szCs w:val="36"/>
          <w:lang w:eastAsia="zh-CN"/>
        </w:rPr>
        <w:t>泽普县卫生健康委员会</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 xml:space="preserve">填报时间：  </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 xml:space="preserve"> 年</w:t>
      </w:r>
      <w:r>
        <w:rPr>
          <w:rFonts w:hint="eastAsia" w:hAnsi="宋体" w:eastAsia="仿宋_GB2312" w:cs="宋体"/>
          <w:kern w:val="0"/>
          <w:sz w:val="36"/>
          <w:szCs w:val="36"/>
          <w:lang w:val="en-US" w:eastAsia="zh-CN"/>
        </w:rPr>
        <w:t xml:space="preserve">  12</w:t>
      </w:r>
      <w:r>
        <w:rPr>
          <w:rFonts w:hint="eastAsia" w:hAnsi="宋体" w:eastAsia="仿宋_GB2312" w:cs="宋体"/>
          <w:kern w:val="0"/>
          <w:sz w:val="36"/>
          <w:szCs w:val="36"/>
        </w:rPr>
        <w:t xml:space="preserve"> </w:t>
      </w: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rPr>
        <w:t xml:space="preserve">月 </w:t>
      </w:r>
      <w:r>
        <w:rPr>
          <w:rFonts w:hint="eastAsia" w:hAnsi="宋体" w:eastAsia="仿宋_GB2312" w:cs="宋体"/>
          <w:kern w:val="0"/>
          <w:sz w:val="36"/>
          <w:szCs w:val="36"/>
          <w:lang w:val="en-US" w:eastAsia="zh-CN"/>
        </w:rPr>
        <w:t xml:space="preserve"> 30</w:t>
      </w:r>
      <w:r>
        <w:rPr>
          <w:rFonts w:hint="eastAsia" w:hAnsi="宋体" w:eastAsia="仿宋_GB2312" w:cs="宋体"/>
          <w:kern w:val="0"/>
          <w:sz w:val="36"/>
          <w:szCs w:val="36"/>
        </w:rPr>
        <w:t xml:space="preserve"> </w:t>
      </w: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rPr>
        <w:t>日</w:t>
      </w:r>
    </w:p>
    <w:p>
      <w:pPr>
        <w:spacing w:line="700" w:lineRule="exact"/>
        <w:ind w:firstLine="849" w:firstLineChars="236"/>
        <w:jc w:val="left"/>
        <w:rPr>
          <w:rFonts w:hAnsi="宋体" w:eastAsia="仿宋_GB2312" w:cs="宋体"/>
          <w:kern w:val="0"/>
          <w:sz w:val="36"/>
          <w:szCs w:val="36"/>
        </w:rPr>
      </w:pPr>
    </w:p>
    <w:p>
      <w:pPr>
        <w:spacing w:line="700" w:lineRule="exact"/>
        <w:ind w:firstLine="849" w:firstLineChars="236"/>
        <w:jc w:val="left"/>
        <w:rPr>
          <w:rFonts w:hint="eastAsia" w:hAnsi="宋体" w:eastAsia="仿宋_GB2312" w:cs="宋体"/>
          <w:kern w:val="0"/>
          <w:sz w:val="36"/>
          <w:szCs w:val="36"/>
        </w:rPr>
      </w:pPr>
    </w:p>
    <w:p>
      <w:pPr>
        <w:spacing w:line="700" w:lineRule="exact"/>
        <w:ind w:firstLine="849" w:firstLineChars="236"/>
        <w:jc w:val="left"/>
        <w:rPr>
          <w:rFonts w:hAnsi="宋体" w:eastAsia="仿宋_GB2312" w:cs="宋体"/>
          <w:kern w:val="0"/>
          <w:sz w:val="36"/>
          <w:szCs w:val="36"/>
        </w:rPr>
      </w:pPr>
    </w:p>
    <w:p>
      <w:pPr>
        <w:spacing w:line="700" w:lineRule="exact"/>
        <w:ind w:firstLine="853" w:firstLineChars="236"/>
        <w:jc w:val="left"/>
        <w:rPr>
          <w:rFonts w:hAnsi="宋体" w:eastAsia="仿宋_GB2312" w:cs="宋体"/>
          <w:b/>
          <w:bCs/>
          <w:kern w:val="0"/>
          <w:sz w:val="36"/>
          <w:szCs w:val="36"/>
        </w:rPr>
      </w:pPr>
    </w:p>
    <w:p>
      <w:pPr>
        <w:pStyle w:val="9"/>
        <w:numPr>
          <w:ilvl w:val="0"/>
          <w:numId w:val="1"/>
        </w:numPr>
        <w:snapToGrid w:val="0"/>
        <w:spacing w:line="540" w:lineRule="exact"/>
        <w:ind w:firstLineChars="0"/>
        <w:rPr>
          <w:rFonts w:ascii="黑体" w:hAnsi="黑体" w:eastAsia="黑体" w:cs="宋体"/>
          <w:b/>
          <w:bCs/>
          <w:color w:val="333333"/>
          <w:sz w:val="32"/>
          <w:szCs w:val="32"/>
        </w:rPr>
      </w:pPr>
      <w:r>
        <w:rPr>
          <w:rFonts w:hint="eastAsia" w:ascii="黑体" w:hAnsi="黑体" w:eastAsia="黑体" w:cs="宋体"/>
          <w:b/>
          <w:bCs/>
          <w:color w:val="333333"/>
          <w:sz w:val="32"/>
          <w:szCs w:val="32"/>
        </w:rPr>
        <w:t>基本概况</w:t>
      </w:r>
    </w:p>
    <w:p>
      <w:pPr>
        <w:keepNext w:val="0"/>
        <w:keepLines w:val="0"/>
        <w:pageBreakBefore w:val="0"/>
        <w:widowControl w:val="0"/>
        <w:kinsoku/>
        <w:wordWrap/>
        <w:overflowPunct/>
        <w:topLinePunct w:val="0"/>
        <w:autoSpaceDE/>
        <w:autoSpaceDN/>
        <w:bidi w:val="0"/>
        <w:spacing w:line="52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（一）中央下达专项转移支付预算和绩效目标情况。</w:t>
      </w:r>
    </w:p>
    <w:p>
      <w:pPr>
        <w:keepNext w:val="0"/>
        <w:keepLines w:val="0"/>
        <w:pageBreakBefore w:val="0"/>
        <w:widowControl w:val="0"/>
        <w:kinsoku/>
        <w:wordWrap/>
        <w:overflowPunct/>
        <w:topLinePunct w:val="0"/>
        <w:autoSpaceDE/>
        <w:autoSpaceDN/>
        <w:bidi w:val="0"/>
        <w:spacing w:line="520" w:lineRule="exact"/>
        <w:ind w:firstLine="640" w:firstLineChars="200"/>
        <w:jc w:val="left"/>
        <w:textAlignment w:val="auto"/>
        <w:rPr>
          <w:rFonts w:hint="eastAsia" w:ascii="仿宋" w:hAnsi="仿宋" w:eastAsia="仿宋" w:cs="仿宋"/>
          <w:kern w:val="0"/>
          <w:sz w:val="32"/>
          <w:szCs w:val="32"/>
          <w:lang w:val="zh-TW"/>
        </w:rPr>
      </w:pPr>
      <w:r>
        <w:rPr>
          <w:rFonts w:hint="eastAsia" w:ascii="仿宋" w:hAnsi="仿宋" w:eastAsia="仿宋" w:cs="仿宋"/>
          <w:kern w:val="0"/>
          <w:sz w:val="32"/>
          <w:szCs w:val="32"/>
          <w:lang w:val="en-US" w:eastAsia="zh-CN"/>
        </w:rPr>
        <w:t>2019</w:t>
      </w:r>
      <w:r>
        <w:rPr>
          <w:rFonts w:hint="eastAsia" w:ascii="仿宋" w:hAnsi="仿宋" w:eastAsia="仿宋" w:cs="仿宋"/>
          <w:kern w:val="0"/>
          <w:sz w:val="32"/>
          <w:szCs w:val="32"/>
          <w:lang w:val="zh-TW"/>
        </w:rPr>
        <w:t>年度下达泽普县</w:t>
      </w:r>
      <w:r>
        <w:rPr>
          <w:rFonts w:hint="eastAsia" w:ascii="仿宋" w:hAnsi="仿宋" w:eastAsia="仿宋" w:cs="仿宋"/>
          <w:kern w:val="0"/>
          <w:sz w:val="32"/>
          <w:szCs w:val="32"/>
          <w:lang w:val="zh-TW" w:eastAsia="zh-CN"/>
        </w:rPr>
        <w:t>重大公共卫生专项</w:t>
      </w:r>
      <w:r>
        <w:rPr>
          <w:rFonts w:hint="eastAsia" w:ascii="仿宋" w:hAnsi="仿宋" w:eastAsia="仿宋" w:cs="仿宋"/>
          <w:kern w:val="0"/>
          <w:sz w:val="32"/>
          <w:szCs w:val="32"/>
          <w:lang w:val="zh-TW"/>
        </w:rPr>
        <w:t>项目</w:t>
      </w:r>
      <w:r>
        <w:rPr>
          <w:rFonts w:hint="eastAsia" w:ascii="仿宋" w:hAnsi="仿宋" w:eastAsia="仿宋" w:cs="仿宋"/>
          <w:kern w:val="0"/>
          <w:sz w:val="32"/>
          <w:szCs w:val="32"/>
          <w:lang w:val="zh-TW" w:eastAsia="zh-CN"/>
        </w:rPr>
        <w:t>资金</w:t>
      </w:r>
      <w:r>
        <w:rPr>
          <w:rFonts w:hint="eastAsia" w:ascii="仿宋" w:hAnsi="仿宋" w:eastAsia="仿宋" w:cs="仿宋"/>
          <w:kern w:val="0"/>
          <w:sz w:val="32"/>
          <w:szCs w:val="32"/>
          <w:lang w:val="en-US" w:eastAsia="zh-CN"/>
        </w:rPr>
        <w:t>310.47</w:t>
      </w:r>
      <w:r>
        <w:rPr>
          <w:rFonts w:hint="eastAsia" w:ascii="仿宋" w:hAnsi="仿宋" w:eastAsia="仿宋" w:cs="仿宋"/>
          <w:kern w:val="0"/>
          <w:sz w:val="32"/>
          <w:szCs w:val="32"/>
          <w:lang w:val="zh-TW"/>
        </w:rPr>
        <w:t>万元。</w:t>
      </w:r>
    </w:p>
    <w:p>
      <w:pPr>
        <w:keepNext w:val="0"/>
        <w:keepLines w:val="0"/>
        <w:pageBreakBefore w:val="0"/>
        <w:widowControl w:val="0"/>
        <w:numPr>
          <w:ilvl w:val="0"/>
          <w:numId w:val="2"/>
        </w:numPr>
        <w:kinsoku/>
        <w:wordWrap/>
        <w:overflowPunct/>
        <w:topLinePunct w:val="0"/>
        <w:autoSpaceDE/>
        <w:autoSpaceDN/>
        <w:bidi w:val="0"/>
        <w:spacing w:line="520" w:lineRule="exact"/>
        <w:ind w:firstLine="640" w:firstLineChars="200"/>
        <w:textAlignment w:val="auto"/>
        <w:outlineLvl w:val="0"/>
        <w:rPr>
          <w:rFonts w:hint="eastAsia" w:ascii="仿宋" w:hAnsi="仿宋" w:eastAsia="仿宋" w:cs="仿宋"/>
          <w:sz w:val="32"/>
          <w:szCs w:val="32"/>
        </w:rPr>
      </w:pPr>
      <w:r>
        <w:rPr>
          <w:rFonts w:hint="eastAsia" w:ascii="仿宋" w:hAnsi="仿宋" w:eastAsia="仿宋" w:cs="仿宋"/>
          <w:sz w:val="32"/>
          <w:szCs w:val="32"/>
        </w:rPr>
        <w:t>自治区内分解下达预算和绩效目标情况。</w:t>
      </w:r>
    </w:p>
    <w:p>
      <w:pPr>
        <w:keepNext w:val="0"/>
        <w:keepLines w:val="0"/>
        <w:pageBreakBefore w:val="0"/>
        <w:widowControl w:val="0"/>
        <w:numPr>
          <w:ilvl w:val="0"/>
          <w:numId w:val="0"/>
        </w:numPr>
        <w:kinsoku/>
        <w:wordWrap/>
        <w:overflowPunct/>
        <w:topLinePunct w:val="0"/>
        <w:autoSpaceDE/>
        <w:autoSpaceDN/>
        <w:bidi w:val="0"/>
        <w:spacing w:line="520" w:lineRule="exact"/>
        <w:ind w:firstLine="1280" w:firstLineChars="400"/>
        <w:textAlignment w:val="auto"/>
        <w:outlineLvl w:val="0"/>
        <w:rPr>
          <w:rFonts w:hint="eastAsia" w:ascii="仿宋" w:hAnsi="仿宋" w:eastAsia="仿宋" w:cs="仿宋"/>
          <w:b w:val="0"/>
          <w:bCs w:val="0"/>
          <w:sz w:val="32"/>
          <w:szCs w:val="32"/>
        </w:rPr>
      </w:pPr>
      <w:r>
        <w:rPr>
          <w:rFonts w:hint="eastAsia" w:ascii="仿宋" w:hAnsi="仿宋" w:eastAsia="仿宋" w:cs="仿宋"/>
          <w:b w:val="0"/>
          <w:bCs w:val="0"/>
          <w:sz w:val="32"/>
          <w:szCs w:val="32"/>
        </w:rPr>
        <w:t>绩效</w:t>
      </w:r>
      <w:r>
        <w:rPr>
          <w:rFonts w:hint="eastAsia" w:ascii="仿宋" w:hAnsi="仿宋" w:eastAsia="仿宋" w:cs="仿宋"/>
          <w:b w:val="0"/>
          <w:bCs w:val="0"/>
          <w:color w:val="auto"/>
          <w:sz w:val="32"/>
          <w:szCs w:val="32"/>
        </w:rPr>
        <w:t>目标情</w:t>
      </w:r>
      <w:r>
        <w:rPr>
          <w:rFonts w:hint="eastAsia" w:ascii="仿宋" w:hAnsi="仿宋" w:eastAsia="仿宋" w:cs="仿宋"/>
          <w:b w:val="0"/>
          <w:bCs w:val="0"/>
          <w:sz w:val="32"/>
          <w:szCs w:val="32"/>
        </w:rPr>
        <w:t>况</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 xml:space="preserve">提高肺结核患者治疗依从性，有效控制传染源；                                                        降低结核病的感染、发病与死亡，提高患者成功治疗率；                                                         最大限度发现艾滋病感染者和病人，有效控制性传播；                                                      提高艾滋病感染者和病人生存质量，不断减少社会歧视；                                             继续保持无脊髓灰质炎状态；进一步控制和降低疫苗针对传染病的发病。 </w:t>
      </w:r>
    </w:p>
    <w:p>
      <w:pPr>
        <w:keepNext w:val="0"/>
        <w:keepLines w:val="0"/>
        <w:pageBreakBefore w:val="0"/>
        <w:widowControl w:val="0"/>
        <w:numPr>
          <w:ilvl w:val="0"/>
          <w:numId w:val="3"/>
        </w:numPr>
        <w:kinsoku/>
        <w:wordWrap/>
        <w:overflowPunct/>
        <w:topLinePunct w:val="0"/>
        <w:autoSpaceDE/>
        <w:autoSpaceDN/>
        <w:bidi w:val="0"/>
        <w:adjustRightInd/>
        <w:snapToGrid/>
        <w:spacing w:line="520" w:lineRule="exact"/>
        <w:ind w:firstLine="624" w:firstLineChars="200"/>
        <w:textAlignment w:val="auto"/>
        <w:rPr>
          <w:rFonts w:hint="eastAsia" w:ascii="仿宋" w:hAnsi="仿宋" w:eastAsia="仿宋" w:cs="仿宋"/>
          <w:sz w:val="32"/>
          <w:szCs w:val="32"/>
          <w:lang w:eastAsia="zh-CN"/>
        </w:rPr>
      </w:pPr>
      <w:r>
        <w:rPr>
          <w:rFonts w:hint="eastAsia" w:ascii="仿宋" w:hAnsi="仿宋" w:eastAsia="仿宋" w:cs="仿宋"/>
          <w:bCs/>
          <w:spacing w:val="-4"/>
          <w:sz w:val="32"/>
          <w:szCs w:val="32"/>
          <w:lang w:val="en-US" w:eastAsia="zh-CN"/>
        </w:rPr>
        <w:t>（三）主要职能：</w:t>
      </w:r>
      <w:r>
        <w:rPr>
          <w:rFonts w:hint="eastAsia" w:ascii="仿宋" w:hAnsi="仿宋" w:eastAsia="仿宋" w:cs="仿宋"/>
          <w:sz w:val="32"/>
          <w:szCs w:val="32"/>
          <w:lang w:val="en-US" w:eastAsia="zh-CN"/>
        </w:rPr>
        <w:t>贯彻实施</w:t>
      </w:r>
      <w:r>
        <w:rPr>
          <w:rFonts w:hint="eastAsia" w:ascii="仿宋" w:hAnsi="仿宋" w:eastAsia="仿宋" w:cs="仿宋"/>
          <w:sz w:val="32"/>
          <w:szCs w:val="32"/>
        </w:rPr>
        <w:t>党和国家工作方计、</w:t>
      </w:r>
      <w:r>
        <w:rPr>
          <w:rFonts w:hint="eastAsia" w:ascii="仿宋" w:hAnsi="仿宋" w:eastAsia="仿宋" w:cs="仿宋"/>
          <w:sz w:val="32"/>
          <w:szCs w:val="32"/>
          <w:lang w:val="en-US" w:eastAsia="zh-CN"/>
        </w:rPr>
        <w:t>政</w:t>
      </w:r>
      <w:r>
        <w:rPr>
          <w:rFonts w:hint="eastAsia" w:ascii="仿宋" w:hAnsi="仿宋" w:eastAsia="仿宋" w:cs="仿宋"/>
          <w:sz w:val="32"/>
          <w:szCs w:val="32"/>
        </w:rPr>
        <w:t>策、</w:t>
      </w:r>
      <w:r>
        <w:rPr>
          <w:rFonts w:hint="eastAsia" w:ascii="仿宋" w:hAnsi="仿宋" w:eastAsia="仿宋" w:cs="仿宋"/>
          <w:sz w:val="32"/>
          <w:szCs w:val="32"/>
          <w:lang w:val="en-US" w:eastAsia="zh-CN"/>
        </w:rPr>
        <w:t>法</w:t>
      </w:r>
      <w:r>
        <w:rPr>
          <w:rFonts w:hint="eastAsia" w:ascii="仿宋" w:hAnsi="仿宋" w:eastAsia="仿宋" w:cs="仿宋"/>
          <w:sz w:val="32"/>
          <w:szCs w:val="32"/>
        </w:rPr>
        <w:t>律,法</w:t>
      </w:r>
      <w:r>
        <w:rPr>
          <w:rFonts w:hint="eastAsia" w:ascii="仿宋" w:hAnsi="仿宋" w:eastAsia="仿宋" w:cs="仿宋"/>
          <w:sz w:val="32"/>
          <w:szCs w:val="32"/>
          <w:lang w:val="en-US" w:eastAsia="zh-CN"/>
        </w:rPr>
        <w:t>规</w:t>
      </w:r>
      <w:r>
        <w:rPr>
          <w:rFonts w:hint="eastAsia" w:ascii="仿宋" w:hAnsi="仿宋" w:eastAsia="仿宋" w:cs="仿宋"/>
          <w:sz w:val="32"/>
          <w:szCs w:val="32"/>
        </w:rPr>
        <w:t>以及卫生标准,规章</w:t>
      </w:r>
      <w:r>
        <w:rPr>
          <w:rFonts w:hint="eastAsia" w:ascii="仿宋" w:hAnsi="仿宋" w:eastAsia="仿宋" w:cs="仿宋"/>
          <w:sz w:val="32"/>
          <w:szCs w:val="32"/>
          <w:lang w:eastAsia="zh-CN"/>
        </w:rPr>
        <w:t>。</w:t>
      </w:r>
      <w:r>
        <w:rPr>
          <w:rFonts w:hint="eastAsia" w:ascii="仿宋" w:hAnsi="仿宋" w:eastAsia="仿宋" w:cs="仿宋"/>
          <w:sz w:val="32"/>
          <w:szCs w:val="32"/>
        </w:rPr>
        <w:t>制定全</w:t>
      </w:r>
      <w:r>
        <w:rPr>
          <w:rFonts w:hint="eastAsia" w:ascii="仿宋" w:hAnsi="仿宋" w:eastAsia="仿宋" w:cs="仿宋"/>
          <w:sz w:val="32"/>
          <w:szCs w:val="32"/>
          <w:lang w:val="en-US" w:eastAsia="zh-CN"/>
        </w:rPr>
        <w:t>县</w:t>
      </w:r>
      <w:r>
        <w:rPr>
          <w:rFonts w:hint="eastAsia" w:ascii="仿宋" w:hAnsi="仿宋" w:eastAsia="仿宋" w:cs="仿宋"/>
          <w:sz w:val="32"/>
          <w:szCs w:val="32"/>
        </w:rPr>
        <w:t>卫生事业规划和目标;研究制定全</w:t>
      </w:r>
      <w:r>
        <w:rPr>
          <w:rFonts w:hint="eastAsia" w:ascii="仿宋" w:hAnsi="仿宋" w:eastAsia="仿宋" w:cs="仿宋"/>
          <w:sz w:val="32"/>
          <w:szCs w:val="32"/>
          <w:lang w:val="en-US" w:eastAsia="zh-CN"/>
        </w:rPr>
        <w:t>县</w:t>
      </w:r>
      <w:r>
        <w:rPr>
          <w:rFonts w:hint="eastAsia" w:ascii="仿宋" w:hAnsi="仿宋" w:eastAsia="仿宋" w:cs="仿宋"/>
          <w:sz w:val="32"/>
          <w:szCs w:val="32"/>
        </w:rPr>
        <w:t>农村卫</w:t>
      </w:r>
      <w:r>
        <w:rPr>
          <w:rFonts w:hint="eastAsia" w:ascii="仿宋" w:hAnsi="仿宋" w:eastAsia="仿宋" w:cs="仿宋"/>
          <w:sz w:val="32"/>
          <w:szCs w:val="32"/>
          <w:lang w:val="en-US" w:eastAsia="zh-CN"/>
        </w:rPr>
        <w:t>生</w:t>
      </w:r>
      <w:r>
        <w:rPr>
          <w:rFonts w:hint="eastAsia" w:ascii="仿宋" w:hAnsi="仿宋" w:eastAsia="仿宋" w:cs="仿宋"/>
          <w:sz w:val="32"/>
          <w:szCs w:val="32"/>
        </w:rPr>
        <w:t>、防病、</w:t>
      </w:r>
      <w:r>
        <w:rPr>
          <w:rFonts w:hint="eastAsia" w:ascii="仿宋" w:hAnsi="仿宋" w:eastAsia="仿宋" w:cs="仿宋"/>
          <w:sz w:val="32"/>
          <w:szCs w:val="32"/>
          <w:lang w:val="en-US" w:eastAsia="zh-CN"/>
        </w:rPr>
        <w:t>妇幼</w:t>
      </w:r>
      <w:r>
        <w:rPr>
          <w:rFonts w:hint="eastAsia" w:ascii="仿宋" w:hAnsi="仿宋" w:eastAsia="仿宋" w:cs="仿宋"/>
          <w:sz w:val="32"/>
          <w:szCs w:val="32"/>
        </w:rPr>
        <w:t>卫生工作</w:t>
      </w:r>
      <w:r>
        <w:rPr>
          <w:rFonts w:hint="eastAsia" w:ascii="仿宋" w:hAnsi="仿宋" w:eastAsia="仿宋" w:cs="仿宋"/>
          <w:sz w:val="32"/>
          <w:szCs w:val="32"/>
          <w:lang w:val="en-US" w:eastAsia="zh-CN"/>
        </w:rPr>
        <w:t>规</w:t>
      </w:r>
      <w:r>
        <w:rPr>
          <w:rFonts w:hint="eastAsia" w:ascii="仿宋" w:hAnsi="仿宋" w:eastAsia="仿宋" w:cs="仿宋"/>
          <w:sz w:val="32"/>
          <w:szCs w:val="32"/>
        </w:rPr>
        <w:t>划</w:t>
      </w:r>
      <w:r>
        <w:rPr>
          <w:rFonts w:hint="eastAsia" w:ascii="仿宋" w:hAnsi="仿宋" w:eastAsia="仿宋" w:cs="仿宋"/>
          <w:sz w:val="32"/>
          <w:szCs w:val="32"/>
          <w:lang w:val="en-US" w:eastAsia="zh-CN"/>
        </w:rPr>
        <w:t>和政</w:t>
      </w:r>
      <w:r>
        <w:rPr>
          <w:rFonts w:hint="eastAsia" w:ascii="仿宋" w:hAnsi="仿宋" w:eastAsia="仿宋" w:cs="仿宋"/>
          <w:sz w:val="32"/>
          <w:szCs w:val="32"/>
        </w:rPr>
        <w:t>策措施,</w:t>
      </w:r>
      <w:r>
        <w:rPr>
          <w:rFonts w:hint="eastAsia" w:ascii="仿宋" w:hAnsi="仿宋" w:eastAsia="仿宋" w:cs="仿宋"/>
          <w:sz w:val="32"/>
          <w:szCs w:val="32"/>
          <w:lang w:val="en-US" w:eastAsia="zh-CN"/>
        </w:rPr>
        <w:t>并监督</w:t>
      </w:r>
      <w:r>
        <w:rPr>
          <w:rFonts w:hint="eastAsia" w:ascii="仿宋" w:hAnsi="仿宋" w:eastAsia="仿宋" w:cs="仿宋"/>
          <w:sz w:val="32"/>
          <w:szCs w:val="32"/>
        </w:rPr>
        <w:t>落实</w:t>
      </w:r>
      <w:r>
        <w:rPr>
          <w:rFonts w:hint="eastAsia" w:ascii="仿宋" w:hAnsi="仿宋" w:eastAsia="仿宋" w:cs="仿宋"/>
          <w:sz w:val="32"/>
          <w:szCs w:val="32"/>
          <w:lang w:eastAsia="zh-CN"/>
        </w:rPr>
        <w:t>。</w:t>
      </w:r>
      <w:r>
        <w:rPr>
          <w:rFonts w:hint="eastAsia" w:ascii="仿宋" w:hAnsi="仿宋" w:eastAsia="仿宋" w:cs="仿宋"/>
          <w:sz w:val="32"/>
          <w:szCs w:val="32"/>
        </w:rPr>
        <w:t>组织</w:t>
      </w:r>
      <w:r>
        <w:rPr>
          <w:rFonts w:hint="eastAsia" w:ascii="仿宋" w:hAnsi="仿宋" w:eastAsia="仿宋" w:cs="仿宋"/>
          <w:sz w:val="32"/>
          <w:szCs w:val="32"/>
          <w:lang w:val="en-US" w:eastAsia="zh-CN"/>
        </w:rPr>
        <w:t>对</w:t>
      </w:r>
      <w:r>
        <w:rPr>
          <w:rFonts w:hint="eastAsia" w:ascii="仿宋" w:hAnsi="仿宋" w:eastAsia="仿宋" w:cs="仿宋"/>
          <w:sz w:val="32"/>
          <w:szCs w:val="32"/>
        </w:rPr>
        <w:t>重大</w:t>
      </w:r>
      <w:r>
        <w:rPr>
          <w:rFonts w:hint="eastAsia" w:ascii="仿宋" w:hAnsi="仿宋" w:eastAsia="仿宋" w:cs="仿宋"/>
          <w:sz w:val="32"/>
          <w:szCs w:val="32"/>
          <w:lang w:val="en-US" w:eastAsia="zh-CN"/>
        </w:rPr>
        <w:t>疾病</w:t>
      </w:r>
      <w:r>
        <w:rPr>
          <w:rFonts w:hint="eastAsia" w:ascii="仿宋" w:hAnsi="仿宋" w:eastAsia="仿宋" w:cs="仿宋"/>
          <w:sz w:val="32"/>
          <w:szCs w:val="32"/>
        </w:rPr>
        <w:t>和</w:t>
      </w:r>
      <w:r>
        <w:rPr>
          <w:rFonts w:hint="eastAsia" w:ascii="仿宋" w:hAnsi="仿宋" w:eastAsia="仿宋" w:cs="仿宋"/>
          <w:sz w:val="32"/>
          <w:szCs w:val="32"/>
          <w:lang w:val="en-US" w:eastAsia="zh-CN"/>
        </w:rPr>
        <w:t>突</w:t>
      </w:r>
      <w:r>
        <w:rPr>
          <w:rFonts w:hint="eastAsia" w:ascii="仿宋" w:hAnsi="仿宋" w:eastAsia="仿宋" w:cs="仿宋"/>
          <w:sz w:val="32"/>
          <w:szCs w:val="32"/>
        </w:rPr>
        <w:t>发公共卫</w:t>
      </w:r>
      <w:r>
        <w:rPr>
          <w:rFonts w:hint="eastAsia" w:ascii="仿宋" w:hAnsi="仿宋" w:eastAsia="仿宋" w:cs="仿宋"/>
          <w:sz w:val="32"/>
          <w:szCs w:val="32"/>
          <w:lang w:val="en-US" w:eastAsia="zh-CN"/>
        </w:rPr>
        <w:t>生条</w:t>
      </w:r>
      <w:r>
        <w:rPr>
          <w:rFonts w:hint="eastAsia" w:ascii="仿宋" w:hAnsi="仿宋" w:eastAsia="仿宋" w:cs="仿宋"/>
          <w:sz w:val="32"/>
          <w:szCs w:val="32"/>
        </w:rPr>
        <w:t>件的医</w:t>
      </w:r>
      <w:r>
        <w:rPr>
          <w:rFonts w:hint="eastAsia" w:ascii="仿宋" w:hAnsi="仿宋" w:eastAsia="仿宋" w:cs="仿宋"/>
          <w:sz w:val="32"/>
          <w:szCs w:val="32"/>
          <w:lang w:val="en-US" w:eastAsia="zh-CN"/>
        </w:rPr>
        <w:t>疗救治。</w:t>
      </w:r>
      <w:r>
        <w:rPr>
          <w:rFonts w:hint="eastAsia" w:ascii="仿宋" w:hAnsi="仿宋" w:eastAsia="仿宋" w:cs="仿宋"/>
          <w:sz w:val="32"/>
          <w:szCs w:val="32"/>
        </w:rPr>
        <w:t>研究指导全县医疗改革,卫生人</w:t>
      </w:r>
      <w:r>
        <w:rPr>
          <w:rFonts w:hint="eastAsia" w:ascii="仿宋" w:hAnsi="仿宋" w:eastAsia="仿宋" w:cs="仿宋"/>
          <w:sz w:val="32"/>
          <w:szCs w:val="32"/>
          <w:lang w:val="en-US" w:eastAsia="zh-CN"/>
        </w:rPr>
        <w:t>员</w:t>
      </w:r>
      <w:r>
        <w:rPr>
          <w:rFonts w:hint="eastAsia" w:ascii="仿宋" w:hAnsi="仿宋" w:eastAsia="仿宋" w:cs="仿宋"/>
          <w:sz w:val="32"/>
          <w:szCs w:val="32"/>
        </w:rPr>
        <w:t>的规划、资格认定和管</w:t>
      </w:r>
      <w:r>
        <w:rPr>
          <w:rFonts w:hint="eastAsia" w:ascii="仿宋" w:hAnsi="仿宋" w:eastAsia="仿宋" w:cs="仿宋"/>
          <w:sz w:val="32"/>
          <w:szCs w:val="32"/>
          <w:lang w:val="en-US" w:eastAsia="zh-CN"/>
        </w:rPr>
        <w:t>理</w:t>
      </w:r>
      <w:r>
        <w:rPr>
          <w:rFonts w:hint="eastAsia" w:ascii="仿宋" w:hAnsi="仿宋" w:eastAsia="仿宋" w:cs="仿宋"/>
          <w:sz w:val="32"/>
          <w:szCs w:val="32"/>
        </w:rPr>
        <w:t>,对</w:t>
      </w:r>
      <w:r>
        <w:rPr>
          <w:rFonts w:hint="eastAsia" w:ascii="仿宋" w:hAnsi="仿宋" w:eastAsia="仿宋" w:cs="仿宋"/>
          <w:sz w:val="32"/>
          <w:szCs w:val="32"/>
          <w:lang w:val="en-US" w:eastAsia="zh-CN"/>
        </w:rPr>
        <w:t>医务人员执业标</w:t>
      </w:r>
      <w:r>
        <w:rPr>
          <w:rFonts w:hint="eastAsia" w:ascii="仿宋" w:hAnsi="仿宋" w:eastAsia="仿宋" w:cs="仿宋"/>
          <w:sz w:val="32"/>
          <w:szCs w:val="32"/>
        </w:rPr>
        <w:t>准、</w:t>
      </w:r>
      <w:r>
        <w:rPr>
          <w:rFonts w:hint="eastAsia" w:ascii="仿宋" w:hAnsi="仿宋" w:eastAsia="仿宋" w:cs="仿宋"/>
          <w:sz w:val="32"/>
          <w:szCs w:val="32"/>
          <w:lang w:val="en-US" w:eastAsia="zh-CN"/>
        </w:rPr>
        <w:t>医</w:t>
      </w:r>
      <w:r>
        <w:rPr>
          <w:rFonts w:hint="eastAsia" w:ascii="仿宋" w:hAnsi="仿宋" w:eastAsia="仿宋" w:cs="仿宋"/>
          <w:sz w:val="32"/>
          <w:szCs w:val="32"/>
        </w:rPr>
        <w:t>疗</w:t>
      </w:r>
      <w:r>
        <w:rPr>
          <w:rFonts w:hint="eastAsia" w:ascii="仿宋" w:hAnsi="仿宋" w:eastAsia="仿宋" w:cs="仿宋"/>
          <w:sz w:val="32"/>
          <w:szCs w:val="32"/>
          <w:lang w:val="en-US" w:eastAsia="zh-CN"/>
        </w:rPr>
        <w:t>质量</w:t>
      </w:r>
      <w:r>
        <w:rPr>
          <w:rFonts w:hint="eastAsia" w:ascii="仿宋" w:hAnsi="仿宋" w:eastAsia="仿宋" w:cs="仿宋"/>
          <w:sz w:val="32"/>
          <w:szCs w:val="32"/>
        </w:rPr>
        <w:t>标准和服务规范进行监督</w:t>
      </w:r>
      <w:r>
        <w:rPr>
          <w:rFonts w:hint="eastAsia" w:ascii="仿宋" w:hAnsi="仿宋" w:eastAsia="仿宋" w:cs="仿宋"/>
          <w:sz w:val="32"/>
          <w:szCs w:val="32"/>
          <w:lang w:eastAsia="zh-CN"/>
        </w:rPr>
        <w:t>；</w:t>
      </w:r>
      <w:r>
        <w:rPr>
          <w:rFonts w:hint="eastAsia" w:ascii="仿宋" w:hAnsi="仿宋" w:eastAsia="仿宋" w:cs="仿宋"/>
          <w:sz w:val="32"/>
          <w:szCs w:val="32"/>
        </w:rPr>
        <w:t>制完全</w:t>
      </w:r>
      <w:r>
        <w:rPr>
          <w:rFonts w:hint="eastAsia" w:ascii="仿宋" w:hAnsi="仿宋" w:eastAsia="仿宋" w:cs="仿宋"/>
          <w:sz w:val="32"/>
          <w:szCs w:val="32"/>
          <w:lang w:val="en-US" w:eastAsia="zh-CN"/>
        </w:rPr>
        <w:t>县</w:t>
      </w:r>
      <w:r>
        <w:rPr>
          <w:rFonts w:hint="eastAsia" w:ascii="仿宋" w:hAnsi="仿宋" w:eastAsia="仿宋" w:cs="仿宋"/>
          <w:sz w:val="32"/>
          <w:szCs w:val="32"/>
        </w:rPr>
        <w:t>医</w:t>
      </w:r>
      <w:r>
        <w:rPr>
          <w:rFonts w:hint="eastAsia" w:ascii="仿宋" w:hAnsi="仿宋" w:eastAsia="仿宋" w:cs="仿宋"/>
          <w:sz w:val="32"/>
          <w:szCs w:val="32"/>
          <w:lang w:val="en-US" w:eastAsia="zh-CN"/>
        </w:rPr>
        <w:t>学</w:t>
      </w:r>
      <w:r>
        <w:rPr>
          <w:rFonts w:hint="eastAsia" w:ascii="仿宋" w:hAnsi="仿宋" w:eastAsia="仿宋" w:cs="仿宋"/>
          <w:sz w:val="32"/>
          <w:szCs w:val="32"/>
        </w:rPr>
        <w:t>科技发</w:t>
      </w:r>
      <w:r>
        <w:rPr>
          <w:rFonts w:hint="eastAsia" w:ascii="仿宋" w:hAnsi="仿宋" w:eastAsia="仿宋" w:cs="仿宋"/>
          <w:sz w:val="32"/>
          <w:szCs w:val="32"/>
          <w:lang w:val="en-US" w:eastAsia="zh-CN"/>
        </w:rPr>
        <w:t>展规划，指导医学科技成果的普及运用。监督管理全县传染病防治和食品、化妆品、保健品、环境、职业劳动、放射、学校的卫生；大力发展中医和民族医药，协调有关部门做好地方病防治工作。</w:t>
      </w:r>
      <w:r>
        <w:rPr>
          <w:rFonts w:hint="eastAsia" w:ascii="仿宋" w:hAnsi="仿宋" w:eastAsia="仿宋" w:cs="仿宋"/>
          <w:sz w:val="32"/>
          <w:szCs w:val="32"/>
        </w:rPr>
        <w:t>根据职责，纳入</w:t>
      </w:r>
      <w:r>
        <w:rPr>
          <w:rFonts w:hint="eastAsia" w:ascii="仿宋" w:hAnsi="仿宋" w:eastAsia="仿宋" w:cs="仿宋"/>
          <w:sz w:val="32"/>
          <w:szCs w:val="32"/>
          <w:lang w:val="en-US" w:eastAsia="zh-CN"/>
        </w:rPr>
        <w:t>2019</w:t>
      </w:r>
      <w:r>
        <w:rPr>
          <w:rFonts w:hint="eastAsia" w:ascii="仿宋" w:hAnsi="仿宋" w:eastAsia="仿宋" w:cs="仿宋"/>
          <w:sz w:val="32"/>
          <w:szCs w:val="32"/>
        </w:rPr>
        <w:t xml:space="preserve">年部门预算编制范围的本单位财政供养范围内的单位有 </w:t>
      </w:r>
      <w:r>
        <w:rPr>
          <w:rFonts w:hint="eastAsia" w:ascii="仿宋" w:hAnsi="仿宋" w:eastAsia="仿宋" w:cs="仿宋"/>
          <w:sz w:val="32"/>
          <w:szCs w:val="32"/>
          <w:lang w:val="en-US" w:eastAsia="zh-CN"/>
        </w:rPr>
        <w:t>19</w:t>
      </w:r>
      <w:r>
        <w:rPr>
          <w:rFonts w:hint="eastAsia" w:ascii="仿宋" w:hAnsi="仿宋" w:eastAsia="仿宋" w:cs="仿宋"/>
          <w:sz w:val="32"/>
          <w:szCs w:val="32"/>
        </w:rPr>
        <w:t>个下属预算单位，分别 是：泽普县</w:t>
      </w:r>
      <w:r>
        <w:rPr>
          <w:rFonts w:hint="eastAsia" w:ascii="仿宋" w:hAnsi="仿宋" w:eastAsia="仿宋" w:cs="仿宋"/>
          <w:sz w:val="32"/>
          <w:szCs w:val="32"/>
          <w:lang w:eastAsia="zh-CN"/>
        </w:rPr>
        <w:t>卫健委</w:t>
      </w:r>
      <w:r>
        <w:rPr>
          <w:rFonts w:hint="eastAsia" w:ascii="仿宋" w:hAnsi="仿宋" w:eastAsia="仿宋" w:cs="仿宋"/>
          <w:sz w:val="32"/>
          <w:szCs w:val="32"/>
        </w:rPr>
        <w:t>（本级）、泽普县卫生监督所、泽普县妇幼保健站、泽普县疾病预防控制中心、泽普县维 吾尔医医院、泽普县人民医院、泽普县波斯喀木乡卫生院、泽普县依玛乡卫生院、泽普县古勒巴格乡卫生院 、泽普县赛力乡卫生院、泽普县依克苏乡卫生院、泽普县图呼其乡卫生院、泽普县奎依巴格乡卫生院、泽普 县阿克塔木乡卫生院、泽普县阿依库勒乡卫生院、泽普县布依鲁克塔吉克民族乡卫生院 、泽普县奎依巴格镇 卫生院、泽普县泽普镇卫生院</w:t>
      </w:r>
      <w:r>
        <w:rPr>
          <w:rFonts w:hint="eastAsia" w:ascii="仿宋" w:hAnsi="仿宋" w:eastAsia="仿宋" w:cs="仿宋"/>
          <w:sz w:val="32"/>
          <w:szCs w:val="32"/>
          <w:lang w:eastAsia="zh-CN"/>
        </w:rPr>
        <w:t>，泽普县桐安乡卫生院</w:t>
      </w:r>
      <w:r>
        <w:rPr>
          <w:rFonts w:hint="eastAsia" w:ascii="仿宋" w:hAnsi="仿宋" w:eastAsia="仿宋" w:cs="仿宋"/>
          <w:sz w:val="32"/>
          <w:szCs w:val="32"/>
        </w:rPr>
        <w:t>。泽普县</w:t>
      </w:r>
      <w:r>
        <w:rPr>
          <w:rFonts w:hint="eastAsia" w:ascii="仿宋" w:hAnsi="仿宋" w:eastAsia="仿宋" w:cs="仿宋"/>
          <w:sz w:val="32"/>
          <w:szCs w:val="32"/>
          <w:lang w:eastAsia="zh-CN"/>
        </w:rPr>
        <w:t>卫健</w:t>
      </w:r>
      <w:r>
        <w:rPr>
          <w:rFonts w:hint="eastAsia" w:ascii="仿宋" w:hAnsi="仿宋" w:eastAsia="仿宋" w:cs="仿宋"/>
          <w:sz w:val="32"/>
          <w:szCs w:val="32"/>
        </w:rPr>
        <w:t>部门（本级）编制数655人，实有人数</w:t>
      </w:r>
      <w:r>
        <w:rPr>
          <w:rFonts w:hint="eastAsia" w:ascii="仿宋" w:hAnsi="仿宋" w:eastAsia="仿宋" w:cs="仿宋"/>
          <w:sz w:val="32"/>
          <w:szCs w:val="32"/>
          <w:lang w:val="en-US" w:eastAsia="zh-CN"/>
        </w:rPr>
        <w:t>696</w:t>
      </w:r>
      <w:r>
        <w:rPr>
          <w:rFonts w:hint="eastAsia" w:ascii="仿宋" w:hAnsi="仿宋" w:eastAsia="仿宋" w:cs="仿宋"/>
          <w:sz w:val="32"/>
          <w:szCs w:val="32"/>
        </w:rPr>
        <w:t>人，其中：在职</w:t>
      </w:r>
      <w:r>
        <w:rPr>
          <w:rFonts w:hint="eastAsia" w:ascii="仿宋" w:hAnsi="仿宋" w:eastAsia="仿宋" w:cs="仿宋"/>
          <w:sz w:val="32"/>
          <w:szCs w:val="32"/>
          <w:lang w:val="en-US" w:eastAsia="zh-CN"/>
        </w:rPr>
        <w:t>696</w:t>
      </w:r>
      <w:r>
        <w:rPr>
          <w:rFonts w:hint="eastAsia" w:ascii="仿宋" w:hAnsi="仿宋" w:eastAsia="仿宋" w:cs="仿宋"/>
          <w:sz w:val="32"/>
          <w:szCs w:val="32"/>
        </w:rPr>
        <w:t>人，比上年</w:t>
      </w:r>
      <w:r>
        <w:rPr>
          <w:rFonts w:hint="eastAsia" w:ascii="仿宋" w:hAnsi="仿宋" w:eastAsia="仿宋" w:cs="仿宋"/>
          <w:sz w:val="32"/>
          <w:szCs w:val="32"/>
          <w:lang w:eastAsia="zh-CN"/>
        </w:rPr>
        <w:t>增加</w:t>
      </w:r>
      <w:r>
        <w:rPr>
          <w:rFonts w:hint="eastAsia" w:ascii="仿宋" w:hAnsi="仿宋" w:eastAsia="仿宋" w:cs="仿宋"/>
          <w:sz w:val="32"/>
          <w:szCs w:val="32"/>
          <w:lang w:val="en-US" w:eastAsia="zh-CN"/>
        </w:rPr>
        <w:t>18</w:t>
      </w:r>
      <w:r>
        <w:rPr>
          <w:rFonts w:hint="eastAsia" w:ascii="仿宋" w:hAnsi="仿宋" w:eastAsia="仿宋" w:cs="仿宋"/>
          <w:sz w:val="32"/>
          <w:szCs w:val="32"/>
        </w:rPr>
        <w:t>人</w:t>
      </w:r>
      <w:r>
        <w:rPr>
          <w:rFonts w:hint="eastAsia" w:ascii="仿宋" w:hAnsi="仿宋" w:eastAsia="仿宋" w:cs="仿宋"/>
          <w:sz w:val="32"/>
          <w:szCs w:val="32"/>
          <w:lang w:eastAsia="zh-CN"/>
        </w:rPr>
        <w:t>。</w:t>
      </w:r>
    </w:p>
    <w:p>
      <w:pPr>
        <w:pStyle w:val="9"/>
        <w:numPr>
          <w:ilvl w:val="0"/>
          <w:numId w:val="1"/>
        </w:numPr>
        <w:snapToGrid w:val="0"/>
        <w:spacing w:line="540" w:lineRule="exact"/>
        <w:ind w:firstLineChars="0"/>
        <w:rPr>
          <w:rFonts w:ascii="黑体" w:hAnsi="黑体" w:eastAsia="黑体" w:cs="宋体"/>
          <w:b/>
          <w:bCs/>
          <w:color w:val="333333"/>
          <w:sz w:val="32"/>
          <w:szCs w:val="32"/>
        </w:rPr>
      </w:pPr>
      <w:r>
        <w:rPr>
          <w:rFonts w:hint="eastAsia" w:ascii="黑体" w:hAnsi="黑体" w:eastAsia="黑体" w:cs="宋体"/>
          <w:b/>
          <w:bCs/>
          <w:color w:val="333333"/>
          <w:sz w:val="32"/>
          <w:szCs w:val="32"/>
        </w:rPr>
        <w:t>部门单位整体支出管理及使用情况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s="仿宋"/>
          <w:bCs/>
          <w:color w:val="000000"/>
          <w:spacing w:val="-4"/>
          <w:sz w:val="32"/>
          <w:szCs w:val="32"/>
          <w:lang w:val="en-US" w:eastAsia="zh-CN"/>
        </w:rPr>
      </w:pPr>
      <w:r>
        <w:rPr>
          <w:rFonts w:hint="eastAsia" w:ascii="仿宋" w:hAnsi="仿宋" w:eastAsia="仿宋" w:cs="仿宋"/>
          <w:bCs/>
          <w:color w:val="000000"/>
          <w:spacing w:val="-4"/>
          <w:sz w:val="32"/>
          <w:szCs w:val="32"/>
          <w:lang w:val="en-US" w:eastAsia="zh-CN"/>
        </w:rPr>
        <w:t>专项支出管理和使用情况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textAlignment w:val="auto"/>
        <w:rPr>
          <w:rFonts w:hint="default" w:ascii="仿宋" w:hAnsi="仿宋" w:eastAsia="仿宋" w:cs="仿宋"/>
          <w:kern w:val="0"/>
          <w:sz w:val="32"/>
          <w:szCs w:val="32"/>
          <w:lang w:val="en-US" w:eastAsia="zh-CN"/>
        </w:rPr>
      </w:pPr>
      <w:r>
        <w:rPr>
          <w:rFonts w:hint="eastAsia" w:ascii="仿宋" w:hAnsi="仿宋" w:eastAsia="仿宋" w:cs="仿宋"/>
          <w:bCs/>
          <w:color w:val="000000"/>
          <w:spacing w:val="-4"/>
          <w:sz w:val="32"/>
          <w:szCs w:val="32"/>
          <w:lang w:val="en-US" w:eastAsia="zh-CN"/>
        </w:rPr>
        <w:t>此专项</w:t>
      </w:r>
      <w:r>
        <w:rPr>
          <w:rFonts w:hint="eastAsia" w:ascii="仿宋" w:hAnsi="仿宋" w:eastAsia="仿宋" w:cs="仿宋"/>
          <w:kern w:val="0"/>
          <w:sz w:val="32"/>
          <w:szCs w:val="32"/>
          <w:lang w:val="zh-TW"/>
        </w:rPr>
        <w:t>泽普县</w:t>
      </w:r>
      <w:r>
        <w:rPr>
          <w:rFonts w:hint="eastAsia" w:ascii="仿宋" w:hAnsi="仿宋" w:eastAsia="仿宋" w:cs="仿宋"/>
          <w:kern w:val="0"/>
          <w:sz w:val="32"/>
          <w:szCs w:val="32"/>
          <w:lang w:val="zh-TW" w:eastAsia="zh-CN"/>
        </w:rPr>
        <w:t>重大公共卫生</w:t>
      </w:r>
      <w:r>
        <w:rPr>
          <w:rFonts w:hint="eastAsia" w:ascii="仿宋" w:hAnsi="仿宋" w:eastAsia="仿宋" w:cs="仿宋"/>
          <w:kern w:val="0"/>
          <w:sz w:val="32"/>
          <w:szCs w:val="32"/>
          <w:lang w:val="zh-TW"/>
        </w:rPr>
        <w:t>项目补助</w:t>
      </w:r>
      <w:r>
        <w:rPr>
          <w:rFonts w:hint="eastAsia" w:ascii="仿宋" w:hAnsi="仿宋" w:eastAsia="仿宋" w:cs="仿宋"/>
          <w:kern w:val="0"/>
          <w:sz w:val="32"/>
          <w:szCs w:val="32"/>
          <w:lang w:val="zh-TW" w:eastAsia="zh-CN"/>
        </w:rPr>
        <w:t>专项，主要用于泽普县</w:t>
      </w:r>
      <w:r>
        <w:rPr>
          <w:rFonts w:hint="eastAsia" w:ascii="仿宋" w:hAnsi="仿宋" w:eastAsia="仿宋" w:cs="仿宋"/>
          <w:kern w:val="0"/>
          <w:sz w:val="32"/>
          <w:szCs w:val="32"/>
          <w:lang w:val="zh-TW"/>
        </w:rPr>
        <w:t>重大传染病防控</w:t>
      </w:r>
      <w:r>
        <w:rPr>
          <w:rFonts w:hint="eastAsia" w:ascii="仿宋" w:hAnsi="仿宋" w:eastAsia="仿宋" w:cs="仿宋"/>
          <w:kern w:val="0"/>
          <w:sz w:val="32"/>
          <w:szCs w:val="32"/>
          <w:lang w:val="zh-TW" w:eastAsia="zh-CN"/>
        </w:rPr>
        <w:t>。按照上级财政部门卫健部门要求主管部门制定规范化的资金管理方案分配资金，使用资金单位</w:t>
      </w:r>
      <w:r>
        <w:rPr>
          <w:rFonts w:hint="eastAsia" w:ascii="仿宋" w:hAnsi="仿宋" w:eastAsia="仿宋" w:cs="仿宋"/>
          <w:kern w:val="0"/>
          <w:sz w:val="32"/>
          <w:szCs w:val="32"/>
          <w:lang w:val="en-US" w:eastAsia="zh-CN"/>
        </w:rPr>
        <w:t>4个（疾控中心，妇幼保健站，计划生育指导站，奎巴格镇结核病隔离点）</w:t>
      </w:r>
      <w:r>
        <w:rPr>
          <w:rFonts w:hint="eastAsia" w:ascii="仿宋" w:hAnsi="仿宋" w:eastAsia="仿宋" w:cs="仿宋"/>
          <w:kern w:val="0"/>
          <w:sz w:val="32"/>
          <w:szCs w:val="32"/>
          <w:lang w:val="zh-TW" w:eastAsia="zh-CN"/>
        </w:rPr>
        <w:t>。主管部门下去开展督导检查和项目绩效考核。</w:t>
      </w:r>
      <w:r>
        <w:rPr>
          <w:rFonts w:hint="eastAsia" w:ascii="仿宋" w:hAnsi="仿宋" w:eastAsia="仿宋" w:cs="仿宋"/>
          <w:kern w:val="0"/>
          <w:sz w:val="32"/>
          <w:szCs w:val="32"/>
          <w:lang w:val="en-US" w:eastAsia="zh-CN"/>
        </w:rPr>
        <w:t>2019年中央财政补助总投入241.61万元，地方补助68.86，分配资金310.47万元，资金实际使用310.47万元，执行率100%。专项资金安排精准，资金使用精准。</w:t>
      </w:r>
    </w:p>
    <w:p>
      <w:pPr>
        <w:snapToGrid w:val="0"/>
        <w:spacing w:line="540" w:lineRule="exact"/>
        <w:ind w:left="648"/>
        <w:rPr>
          <w:rFonts w:ascii="黑体" w:hAnsi="黑体" w:eastAsia="黑体" w:cs="宋体"/>
          <w:b/>
          <w:bCs w:val="0"/>
          <w:color w:val="333333"/>
          <w:sz w:val="32"/>
          <w:szCs w:val="32"/>
        </w:rPr>
      </w:pPr>
      <w:r>
        <w:rPr>
          <w:rFonts w:hint="eastAsia" w:ascii="黑体" w:hAnsi="黑体" w:eastAsia="黑体" w:cs="宋体"/>
          <w:b/>
          <w:bCs w:val="0"/>
          <w:color w:val="333333"/>
          <w:sz w:val="32"/>
          <w:szCs w:val="32"/>
        </w:rPr>
        <w:t>三、部门单位专项组织实施情况</w:t>
      </w:r>
    </w:p>
    <w:p>
      <w:pPr>
        <w:keepNext w:val="0"/>
        <w:keepLines w:val="0"/>
        <w:pageBreakBefore w:val="0"/>
        <w:widowControl w:val="0"/>
        <w:numPr>
          <w:ilvl w:val="0"/>
          <w:numId w:val="4"/>
        </w:numPr>
        <w:kinsoku/>
        <w:wordWrap/>
        <w:overflowPunct/>
        <w:topLinePunct w:val="0"/>
        <w:autoSpaceDE/>
        <w:autoSpaceDN/>
        <w:bidi w:val="0"/>
        <w:spacing w:line="520" w:lineRule="exact"/>
        <w:jc w:val="left"/>
        <w:textAlignment w:val="auto"/>
        <w:rPr>
          <w:rFonts w:hint="eastAsia" w:ascii="仿宋" w:hAnsi="仿宋" w:eastAsia="仿宋" w:cs="仿宋"/>
          <w:kern w:val="0"/>
          <w:sz w:val="32"/>
          <w:szCs w:val="32"/>
          <w:lang w:val="zh-TW"/>
        </w:rPr>
      </w:pPr>
      <w:r>
        <w:rPr>
          <w:rFonts w:hint="eastAsia" w:ascii="仿宋" w:hAnsi="仿宋" w:eastAsia="仿宋" w:cs="仿宋"/>
          <w:sz w:val="32"/>
          <w:szCs w:val="32"/>
        </w:rPr>
        <w:t>项目资金到位情况分析。</w:t>
      </w:r>
    </w:p>
    <w:p>
      <w:pPr>
        <w:keepNext w:val="0"/>
        <w:keepLines w:val="0"/>
        <w:pageBreakBefore w:val="0"/>
        <w:widowControl w:val="0"/>
        <w:numPr>
          <w:ilvl w:val="0"/>
          <w:numId w:val="0"/>
        </w:numPr>
        <w:kinsoku/>
        <w:wordWrap/>
        <w:overflowPunct/>
        <w:topLinePunct w:val="0"/>
        <w:autoSpaceDE/>
        <w:autoSpaceDN/>
        <w:bidi w:val="0"/>
        <w:spacing w:line="520" w:lineRule="exact"/>
        <w:jc w:val="left"/>
        <w:textAlignment w:val="auto"/>
        <w:rPr>
          <w:rFonts w:hint="eastAsia" w:ascii="仿宋" w:hAnsi="仿宋" w:eastAsia="仿宋" w:cs="仿宋"/>
          <w:kern w:val="0"/>
          <w:sz w:val="32"/>
          <w:szCs w:val="32"/>
          <w:lang w:val="zh-TW"/>
        </w:rPr>
      </w:pPr>
      <w:r>
        <w:rPr>
          <w:rFonts w:hint="eastAsia" w:ascii="仿宋" w:hAnsi="仿宋" w:eastAsia="仿宋" w:cs="仿宋"/>
          <w:kern w:val="0"/>
          <w:sz w:val="32"/>
          <w:szCs w:val="32"/>
          <w:lang w:val="zh-TW" w:eastAsia="zh-CN"/>
        </w:rPr>
        <w:t>重大公共卫生</w:t>
      </w:r>
      <w:r>
        <w:rPr>
          <w:rFonts w:hint="eastAsia" w:ascii="仿宋" w:hAnsi="仿宋" w:eastAsia="仿宋" w:cs="仿宋"/>
          <w:kern w:val="0"/>
          <w:sz w:val="32"/>
          <w:szCs w:val="32"/>
          <w:lang w:val="zh-TW"/>
        </w:rPr>
        <w:t>补助项目预算安排总额为</w:t>
      </w:r>
      <w:r>
        <w:rPr>
          <w:rFonts w:hint="eastAsia" w:ascii="仿宋" w:hAnsi="仿宋" w:eastAsia="仿宋" w:cs="仿宋"/>
          <w:kern w:val="0"/>
          <w:sz w:val="32"/>
          <w:szCs w:val="32"/>
          <w:lang w:val="en-US" w:eastAsia="zh-CN"/>
        </w:rPr>
        <w:t>310.47</w:t>
      </w:r>
      <w:r>
        <w:rPr>
          <w:rFonts w:hint="eastAsia" w:ascii="仿宋" w:hAnsi="仿宋" w:eastAsia="仿宋" w:cs="仿宋"/>
          <w:kern w:val="0"/>
          <w:sz w:val="32"/>
          <w:szCs w:val="32"/>
          <w:lang w:val="zh-TW"/>
        </w:rPr>
        <w:t>万元，其中财政补助资金</w:t>
      </w:r>
      <w:r>
        <w:rPr>
          <w:rFonts w:hint="eastAsia" w:ascii="仿宋" w:hAnsi="仿宋" w:eastAsia="仿宋" w:cs="仿宋"/>
          <w:kern w:val="0"/>
          <w:sz w:val="32"/>
          <w:szCs w:val="32"/>
          <w:lang w:val="en-US" w:eastAsia="zh-CN"/>
        </w:rPr>
        <w:t>241.61，地方补助68.86</w:t>
      </w:r>
      <w:r>
        <w:rPr>
          <w:rFonts w:hint="eastAsia" w:ascii="仿宋" w:hAnsi="仿宋" w:eastAsia="仿宋" w:cs="仿宋"/>
          <w:kern w:val="0"/>
          <w:sz w:val="32"/>
          <w:szCs w:val="32"/>
          <w:lang w:val="zh-TW"/>
        </w:rPr>
        <w:t>万元,201</w:t>
      </w:r>
      <w:r>
        <w:rPr>
          <w:rFonts w:hint="eastAsia" w:ascii="仿宋" w:hAnsi="仿宋" w:eastAsia="仿宋" w:cs="仿宋"/>
          <w:kern w:val="0"/>
          <w:sz w:val="32"/>
          <w:szCs w:val="32"/>
          <w:lang w:val="en-US" w:eastAsia="zh-CN"/>
        </w:rPr>
        <w:t>9</w:t>
      </w:r>
      <w:r>
        <w:rPr>
          <w:rFonts w:hint="eastAsia" w:ascii="仿宋" w:hAnsi="仿宋" w:eastAsia="仿宋" w:cs="仿宋"/>
          <w:kern w:val="0"/>
          <w:sz w:val="32"/>
          <w:szCs w:val="32"/>
          <w:lang w:val="zh-TW"/>
        </w:rPr>
        <w:t>年实际收到预算资金</w:t>
      </w:r>
      <w:r>
        <w:rPr>
          <w:rFonts w:hint="eastAsia" w:ascii="仿宋" w:hAnsi="仿宋" w:eastAsia="仿宋" w:cs="仿宋"/>
          <w:kern w:val="0"/>
          <w:sz w:val="32"/>
          <w:szCs w:val="32"/>
          <w:lang w:val="en-US" w:eastAsia="zh-CN"/>
        </w:rPr>
        <w:t>310.47</w:t>
      </w:r>
      <w:r>
        <w:rPr>
          <w:rFonts w:hint="eastAsia" w:ascii="仿宋" w:hAnsi="仿宋" w:eastAsia="仿宋" w:cs="仿宋"/>
          <w:kern w:val="0"/>
          <w:sz w:val="32"/>
          <w:szCs w:val="32"/>
          <w:lang w:val="zh-TW"/>
        </w:rPr>
        <w:t>万元。</w:t>
      </w:r>
    </w:p>
    <w:p>
      <w:pPr>
        <w:keepNext w:val="0"/>
        <w:keepLines w:val="0"/>
        <w:pageBreakBefore w:val="0"/>
        <w:widowControl w:val="0"/>
        <w:numPr>
          <w:ilvl w:val="0"/>
          <w:numId w:val="0"/>
        </w:numPr>
        <w:kinsoku/>
        <w:wordWrap/>
        <w:overflowPunct/>
        <w:topLinePunct w:val="0"/>
        <w:autoSpaceDE/>
        <w:autoSpaceDN/>
        <w:bidi w:val="0"/>
        <w:spacing w:line="520" w:lineRule="exact"/>
        <w:jc w:val="left"/>
        <w:textAlignment w:val="auto"/>
        <w:rPr>
          <w:rFonts w:hint="eastAsia" w:ascii="仿宋" w:hAnsi="仿宋" w:eastAsia="仿宋" w:cs="仿宋"/>
          <w:sz w:val="32"/>
          <w:szCs w:val="32"/>
        </w:rPr>
      </w:pPr>
      <w:r>
        <w:rPr>
          <w:rFonts w:hint="eastAsia" w:ascii="仿宋" w:hAnsi="仿宋" w:eastAsia="仿宋" w:cs="仿宋"/>
          <w:sz w:val="32"/>
          <w:szCs w:val="32"/>
        </w:rPr>
        <w:t>2.项目资金执行情况分析。</w:t>
      </w:r>
    </w:p>
    <w:p>
      <w:pPr>
        <w:keepNext w:val="0"/>
        <w:keepLines w:val="0"/>
        <w:pageBreakBefore w:val="0"/>
        <w:widowControl w:val="0"/>
        <w:kinsoku/>
        <w:wordWrap/>
        <w:overflowPunct/>
        <w:topLinePunct w:val="0"/>
        <w:autoSpaceDE/>
        <w:autoSpaceDN/>
        <w:bidi w:val="0"/>
        <w:spacing w:line="520" w:lineRule="exact"/>
        <w:ind w:firstLine="640" w:firstLineChars="200"/>
        <w:jc w:val="left"/>
        <w:textAlignment w:val="auto"/>
        <w:rPr>
          <w:rFonts w:hint="eastAsia" w:ascii="仿宋" w:hAnsi="仿宋" w:eastAsia="仿宋" w:cs="仿宋"/>
          <w:kern w:val="0"/>
          <w:sz w:val="32"/>
          <w:szCs w:val="32"/>
          <w:lang w:val="zh-TW"/>
        </w:rPr>
      </w:pPr>
      <w:r>
        <w:rPr>
          <w:rFonts w:hint="eastAsia" w:ascii="仿宋" w:hAnsi="仿宋" w:eastAsia="仿宋" w:cs="仿宋"/>
          <w:kern w:val="0"/>
          <w:sz w:val="32"/>
          <w:szCs w:val="32"/>
          <w:lang w:val="zh-TW"/>
        </w:rPr>
        <w:t>泽普县</w:t>
      </w:r>
      <w:r>
        <w:rPr>
          <w:rFonts w:hint="eastAsia" w:ascii="仿宋" w:hAnsi="仿宋" w:eastAsia="仿宋" w:cs="仿宋"/>
          <w:kern w:val="0"/>
          <w:sz w:val="32"/>
          <w:szCs w:val="32"/>
          <w:lang w:val="zh-TW" w:eastAsia="zh-CN"/>
        </w:rPr>
        <w:t>卫健委重大公共卫生项目</w:t>
      </w:r>
      <w:r>
        <w:rPr>
          <w:rFonts w:hint="eastAsia" w:ascii="仿宋" w:hAnsi="仿宋" w:eastAsia="仿宋" w:cs="仿宋"/>
          <w:kern w:val="0"/>
          <w:sz w:val="32"/>
          <w:szCs w:val="32"/>
          <w:lang w:val="zh-TW"/>
        </w:rPr>
        <w:t>补助资金执行使用</w:t>
      </w:r>
      <w:r>
        <w:rPr>
          <w:rFonts w:hint="eastAsia" w:ascii="仿宋" w:hAnsi="仿宋" w:eastAsia="仿宋" w:cs="仿宋"/>
          <w:kern w:val="0"/>
          <w:sz w:val="32"/>
          <w:szCs w:val="32"/>
          <w:lang w:val="en-US" w:eastAsia="zh-CN"/>
        </w:rPr>
        <w:t>310.47</w:t>
      </w:r>
      <w:r>
        <w:rPr>
          <w:rFonts w:hint="eastAsia" w:ascii="仿宋" w:hAnsi="仿宋" w:eastAsia="仿宋" w:cs="仿宋"/>
          <w:kern w:val="0"/>
          <w:sz w:val="32"/>
          <w:szCs w:val="32"/>
          <w:lang w:val="zh-TW"/>
        </w:rPr>
        <w:t>万元。</w:t>
      </w:r>
    </w:p>
    <w:p>
      <w:pPr>
        <w:keepNext w:val="0"/>
        <w:keepLines w:val="0"/>
        <w:pageBreakBefore w:val="0"/>
        <w:widowControl w:val="0"/>
        <w:kinsoku/>
        <w:wordWrap/>
        <w:overflowPunct/>
        <w:topLinePunct w:val="0"/>
        <w:autoSpaceDE/>
        <w:autoSpaceDN/>
        <w:bidi w:val="0"/>
        <w:spacing w:line="520" w:lineRule="exact"/>
        <w:ind w:firstLine="480" w:firstLineChars="150"/>
        <w:textAlignment w:val="auto"/>
        <w:rPr>
          <w:rFonts w:hint="eastAsia" w:ascii="仿宋" w:hAnsi="仿宋" w:eastAsia="仿宋" w:cs="仿宋"/>
          <w:sz w:val="32"/>
          <w:szCs w:val="32"/>
        </w:rPr>
      </w:pPr>
      <w:r>
        <w:rPr>
          <w:rFonts w:hint="eastAsia" w:ascii="仿宋" w:hAnsi="仿宋" w:eastAsia="仿宋" w:cs="仿宋"/>
          <w:sz w:val="32"/>
          <w:szCs w:val="32"/>
        </w:rPr>
        <w:t>3.项目资金管理情况分析。</w:t>
      </w:r>
    </w:p>
    <w:p>
      <w:pPr>
        <w:keepNext w:val="0"/>
        <w:keepLines w:val="0"/>
        <w:pageBreakBefore w:val="0"/>
        <w:widowControl w:val="0"/>
        <w:kinsoku/>
        <w:wordWrap/>
        <w:overflowPunct/>
        <w:topLinePunct w:val="0"/>
        <w:autoSpaceDE/>
        <w:autoSpaceDN/>
        <w:bidi w:val="0"/>
        <w:spacing w:line="520" w:lineRule="exact"/>
        <w:ind w:firstLine="640" w:firstLineChars="200"/>
        <w:jc w:val="left"/>
        <w:textAlignment w:val="auto"/>
        <w:rPr>
          <w:rFonts w:hint="eastAsia" w:ascii="仿宋" w:hAnsi="仿宋" w:eastAsia="仿宋" w:cs="仿宋"/>
          <w:kern w:val="0"/>
          <w:sz w:val="32"/>
          <w:szCs w:val="32"/>
          <w:lang w:val="zh-TW"/>
        </w:rPr>
      </w:pPr>
      <w:r>
        <w:rPr>
          <w:rFonts w:hint="eastAsia" w:ascii="仿宋" w:hAnsi="仿宋" w:eastAsia="仿宋" w:cs="仿宋"/>
          <w:kern w:val="0"/>
          <w:sz w:val="32"/>
          <w:szCs w:val="32"/>
          <w:lang w:val="zh-TW" w:eastAsia="zh-CN"/>
        </w:rPr>
        <w:t>重大公共卫生项目</w:t>
      </w:r>
      <w:r>
        <w:rPr>
          <w:rFonts w:hint="eastAsia" w:ascii="仿宋" w:hAnsi="仿宋" w:eastAsia="仿宋" w:cs="仿宋"/>
          <w:kern w:val="0"/>
          <w:sz w:val="32"/>
          <w:szCs w:val="32"/>
          <w:lang w:val="zh-TW"/>
        </w:rPr>
        <w:t>补助资金下达后，我单位根据</w:t>
      </w:r>
      <w:r>
        <w:rPr>
          <w:rFonts w:hint="eastAsia" w:ascii="仿宋" w:hAnsi="仿宋" w:eastAsia="仿宋" w:cs="仿宋"/>
          <w:kern w:val="0"/>
          <w:sz w:val="32"/>
          <w:szCs w:val="32"/>
          <w:lang w:val="zh-TW" w:eastAsia="zh-CN"/>
        </w:rPr>
        <w:t>上级部门资金分配方案</w:t>
      </w:r>
      <w:r>
        <w:rPr>
          <w:rFonts w:hint="eastAsia" w:ascii="仿宋" w:hAnsi="仿宋" w:eastAsia="仿宋" w:cs="仿宋"/>
          <w:kern w:val="0"/>
          <w:sz w:val="32"/>
          <w:szCs w:val="32"/>
          <w:lang w:val="zh-TW"/>
        </w:rPr>
        <w:t>，</w:t>
      </w:r>
      <w:r>
        <w:rPr>
          <w:rFonts w:hint="eastAsia" w:ascii="仿宋" w:hAnsi="仿宋" w:eastAsia="仿宋" w:cs="仿宋"/>
          <w:kern w:val="0"/>
          <w:sz w:val="32"/>
          <w:szCs w:val="32"/>
          <w:lang w:val="zh-TW" w:eastAsia="zh-CN"/>
        </w:rPr>
        <w:t>疾控中心，妇幼保健站和计划生育指导站，奎巴格真卫生院</w:t>
      </w:r>
      <w:bookmarkStart w:id="0" w:name="_GoBack"/>
      <w:bookmarkEnd w:id="0"/>
      <w:r>
        <w:rPr>
          <w:rFonts w:hint="eastAsia" w:ascii="仿宋" w:hAnsi="仿宋" w:eastAsia="仿宋" w:cs="仿宋"/>
          <w:kern w:val="0"/>
          <w:sz w:val="32"/>
          <w:szCs w:val="32"/>
          <w:lang w:val="zh-TW"/>
        </w:rPr>
        <w:t>进行分配。同时健全资金的监督检查制度。</w:t>
      </w:r>
    </w:p>
    <w:p>
      <w:pPr>
        <w:keepNext w:val="0"/>
        <w:keepLines w:val="0"/>
        <w:pageBreakBefore w:val="0"/>
        <w:widowControl w:val="0"/>
        <w:kinsoku/>
        <w:wordWrap/>
        <w:overflowPunct/>
        <w:topLinePunct w:val="0"/>
        <w:autoSpaceDE/>
        <w:autoSpaceDN/>
        <w:bidi w:val="0"/>
        <w:spacing w:line="520" w:lineRule="exact"/>
        <w:ind w:firstLine="640" w:firstLineChars="200"/>
        <w:jc w:val="left"/>
        <w:textAlignment w:val="auto"/>
        <w:rPr>
          <w:rFonts w:hint="eastAsia" w:ascii="仿宋" w:hAnsi="仿宋" w:eastAsia="仿宋" w:cs="仿宋"/>
          <w:kern w:val="0"/>
          <w:sz w:val="32"/>
          <w:szCs w:val="32"/>
          <w:lang w:val="zh-TW"/>
        </w:rPr>
      </w:pPr>
      <w:r>
        <w:rPr>
          <w:rFonts w:hint="eastAsia" w:ascii="仿宋" w:hAnsi="仿宋" w:eastAsia="仿宋" w:cs="仿宋"/>
          <w:kern w:val="0"/>
          <w:sz w:val="32"/>
          <w:szCs w:val="32"/>
          <w:lang w:val="zh-TW"/>
        </w:rPr>
        <w:t>专项资金下达财政国库，根据</w:t>
      </w:r>
      <w:r>
        <w:rPr>
          <w:rFonts w:hint="eastAsia" w:ascii="仿宋" w:hAnsi="仿宋" w:eastAsia="仿宋" w:cs="仿宋"/>
          <w:kern w:val="0"/>
          <w:sz w:val="32"/>
          <w:szCs w:val="32"/>
          <w:lang w:val="zh-TW" w:eastAsia="zh-CN"/>
        </w:rPr>
        <w:t>重大疾病预防</w:t>
      </w:r>
      <w:r>
        <w:rPr>
          <w:rFonts w:hint="eastAsia" w:ascii="仿宋" w:hAnsi="仿宋" w:eastAsia="仿宋" w:cs="仿宋"/>
          <w:kern w:val="0"/>
          <w:sz w:val="32"/>
          <w:szCs w:val="32"/>
          <w:lang w:val="zh-TW"/>
        </w:rPr>
        <w:t>情况，整理汇总后，向县财经领导小组申请报告，经县财经领导小组审批通过由县财政拨付资金。</w:t>
      </w:r>
    </w:p>
    <w:p>
      <w:pPr>
        <w:pStyle w:val="9"/>
        <w:numPr>
          <w:ilvl w:val="0"/>
          <w:numId w:val="5"/>
        </w:numPr>
        <w:snapToGrid w:val="0"/>
        <w:spacing w:line="540" w:lineRule="exact"/>
        <w:ind w:firstLineChars="0"/>
        <w:rPr>
          <w:rStyle w:val="6"/>
          <w:rFonts w:ascii="黑体" w:hAnsi="黑体" w:eastAsia="黑体"/>
          <w:b w:val="0"/>
          <w:spacing w:val="-4"/>
          <w:sz w:val="32"/>
          <w:szCs w:val="32"/>
        </w:rPr>
      </w:pPr>
      <w:r>
        <w:rPr>
          <w:rStyle w:val="6"/>
          <w:rFonts w:hint="eastAsia" w:ascii="黑体" w:hAnsi="黑体" w:eastAsia="黑体"/>
          <w:b w:val="0"/>
          <w:spacing w:val="-4"/>
          <w:sz w:val="32"/>
          <w:szCs w:val="32"/>
        </w:rPr>
        <w:t>资产管理情况</w:t>
      </w:r>
    </w:p>
    <w:p>
      <w:pPr>
        <w:snapToGrid w:val="0"/>
        <w:spacing w:line="540" w:lineRule="exact"/>
        <w:ind w:left="648"/>
        <w:rPr>
          <w:rStyle w:val="6"/>
          <w:rFonts w:hint="default" w:ascii="仿宋_GB2312" w:hAnsi="楷体" w:eastAsia="仿宋_GB2312"/>
          <w:b w:val="0"/>
          <w:spacing w:val="-4"/>
          <w:sz w:val="32"/>
          <w:szCs w:val="32"/>
          <w:lang w:val="en-US" w:eastAsia="zh-CN"/>
        </w:rPr>
      </w:pPr>
      <w:r>
        <w:rPr>
          <w:rStyle w:val="6"/>
          <w:rFonts w:hint="eastAsia" w:ascii="仿宋_GB2312" w:hAnsi="楷体" w:eastAsia="仿宋_GB2312"/>
          <w:b w:val="0"/>
          <w:spacing w:val="-4"/>
          <w:sz w:val="32"/>
          <w:szCs w:val="32"/>
          <w:lang w:eastAsia="zh-CN"/>
        </w:rPr>
        <w:t>经组织统一采购，按照资产管理办法规范化管理资产</w:t>
      </w:r>
      <w:r>
        <w:rPr>
          <w:rStyle w:val="6"/>
          <w:rFonts w:hint="eastAsia" w:ascii="仿宋_GB2312" w:hAnsi="楷体" w:eastAsia="仿宋_GB2312"/>
          <w:b w:val="0"/>
          <w:spacing w:val="-4"/>
          <w:sz w:val="32"/>
          <w:szCs w:val="32"/>
        </w:rPr>
        <w:t>。</w:t>
      </w:r>
    </w:p>
    <w:p>
      <w:pPr>
        <w:snapToGrid w:val="0"/>
        <w:spacing w:line="540" w:lineRule="exact"/>
        <w:ind w:firstLine="648"/>
        <w:rPr>
          <w:rStyle w:val="6"/>
          <w:rFonts w:ascii="黑体" w:hAnsi="黑体" w:eastAsia="黑体"/>
          <w:b w:val="0"/>
          <w:spacing w:val="-4"/>
          <w:sz w:val="32"/>
          <w:szCs w:val="32"/>
        </w:rPr>
      </w:pPr>
      <w:r>
        <w:rPr>
          <w:rStyle w:val="6"/>
          <w:rFonts w:hint="eastAsia" w:ascii="黑体" w:hAnsi="黑体" w:eastAsia="黑体"/>
          <w:b w:val="0"/>
          <w:spacing w:val="-4"/>
          <w:sz w:val="32"/>
          <w:szCs w:val="32"/>
        </w:rPr>
        <w:t>五、部门单位整体支出绩效情况</w:t>
      </w:r>
    </w:p>
    <w:p>
      <w:pPr>
        <w:snapToGrid w:val="0"/>
        <w:spacing w:line="540" w:lineRule="exact"/>
        <w:ind w:firstLine="608"/>
        <w:rPr>
          <w:rStyle w:val="6"/>
          <w:rFonts w:hint="eastAsia" w:ascii="仿宋_GB2312" w:hAnsi="楷体" w:eastAsia="仿宋_GB2312"/>
          <w:b w:val="0"/>
          <w:spacing w:val="-4"/>
          <w:sz w:val="32"/>
          <w:szCs w:val="32"/>
        </w:rPr>
      </w:pPr>
      <w:r>
        <w:rPr>
          <w:rFonts w:hint="eastAsia" w:ascii="仿宋" w:hAnsi="仿宋" w:eastAsia="仿宋" w:cs="仿宋"/>
          <w:kern w:val="0"/>
          <w:sz w:val="32"/>
          <w:szCs w:val="32"/>
          <w:lang w:val="zh-TW"/>
        </w:rPr>
        <w:t>麻疹监测发病率、流脑监测发病率较往年有所</w:t>
      </w:r>
      <w:r>
        <w:rPr>
          <w:rFonts w:hint="eastAsia" w:ascii="仿宋" w:hAnsi="仿宋" w:eastAsia="仿宋" w:cs="仿宋"/>
          <w:kern w:val="0"/>
          <w:sz w:val="32"/>
          <w:szCs w:val="32"/>
          <w:lang w:val="zh-TW" w:eastAsia="zh-CN"/>
        </w:rPr>
        <w:t>下降</w:t>
      </w:r>
      <w:r>
        <w:rPr>
          <w:rStyle w:val="6"/>
          <w:rFonts w:hint="eastAsia" w:ascii="仿宋_GB2312" w:hAnsi="楷体" w:eastAsia="仿宋_GB2312"/>
          <w:b w:val="0"/>
          <w:spacing w:val="-4"/>
          <w:sz w:val="32"/>
          <w:szCs w:val="32"/>
        </w:rPr>
        <w:t>。</w:t>
      </w:r>
    </w:p>
    <w:p>
      <w:pPr>
        <w:keepNext w:val="0"/>
        <w:keepLines w:val="0"/>
        <w:pageBreakBefore w:val="0"/>
        <w:widowControl w:val="0"/>
        <w:kinsoku/>
        <w:wordWrap/>
        <w:overflowPunct/>
        <w:topLinePunct w:val="0"/>
        <w:autoSpaceDE/>
        <w:autoSpaceDN/>
        <w:bidi w:val="0"/>
        <w:spacing w:line="520" w:lineRule="exact"/>
        <w:ind w:firstLine="639"/>
        <w:textAlignment w:val="auto"/>
        <w:rPr>
          <w:rFonts w:hint="default" w:ascii="仿宋" w:hAnsi="仿宋" w:eastAsia="仿宋" w:cs="仿宋"/>
          <w:kern w:val="0"/>
          <w:sz w:val="32"/>
          <w:szCs w:val="32"/>
          <w:lang w:val="en-US" w:eastAsia="zh-CN"/>
        </w:rPr>
      </w:pPr>
      <w:r>
        <w:rPr>
          <w:rFonts w:hint="eastAsia" w:ascii="仿宋" w:hAnsi="仿宋" w:eastAsia="仿宋" w:cs="仿宋"/>
          <w:kern w:val="0"/>
          <w:sz w:val="32"/>
          <w:szCs w:val="32"/>
          <w:lang w:val="zh-TW"/>
        </w:rPr>
        <w:t>肺结核患者成功治疗率</w:t>
      </w:r>
      <w:r>
        <w:rPr>
          <w:rFonts w:hint="eastAsia" w:ascii="仿宋" w:hAnsi="仿宋" w:eastAsia="仿宋" w:cs="仿宋"/>
          <w:kern w:val="0"/>
          <w:sz w:val="32"/>
          <w:szCs w:val="32"/>
          <w:lang w:val="en-US" w:eastAsia="zh-CN"/>
        </w:rPr>
        <w:t>90%。</w:t>
      </w:r>
    </w:p>
    <w:p>
      <w:pPr>
        <w:keepNext w:val="0"/>
        <w:keepLines w:val="0"/>
        <w:pageBreakBefore w:val="0"/>
        <w:widowControl w:val="0"/>
        <w:kinsoku/>
        <w:wordWrap/>
        <w:overflowPunct/>
        <w:topLinePunct w:val="0"/>
        <w:autoSpaceDE/>
        <w:autoSpaceDN/>
        <w:bidi w:val="0"/>
        <w:spacing w:line="520" w:lineRule="exact"/>
        <w:ind w:firstLine="639"/>
        <w:textAlignment w:val="auto"/>
        <w:rPr>
          <w:rStyle w:val="6"/>
          <w:rFonts w:ascii="黑体" w:hAnsi="黑体" w:eastAsia="黑体"/>
          <w:b w:val="0"/>
          <w:spacing w:val="-4"/>
          <w:sz w:val="32"/>
          <w:szCs w:val="32"/>
        </w:rPr>
      </w:pPr>
      <w:r>
        <w:rPr>
          <w:rStyle w:val="6"/>
          <w:rFonts w:hint="eastAsia" w:ascii="黑体" w:hAnsi="黑体" w:eastAsia="黑体"/>
          <w:b w:val="0"/>
          <w:spacing w:val="-4"/>
          <w:sz w:val="32"/>
          <w:szCs w:val="32"/>
        </w:rPr>
        <w:t>六、存在的主要问题</w:t>
      </w:r>
      <w:r>
        <w:rPr>
          <w:rFonts w:hint="eastAsia" w:ascii="仿宋" w:hAnsi="仿宋" w:eastAsia="仿宋" w:cs="仿宋"/>
          <w:kern w:val="0"/>
          <w:sz w:val="32"/>
          <w:szCs w:val="32"/>
          <w:lang w:val="zh-TW"/>
        </w:rPr>
        <w:t>项目开展的程序还需进一步规范；项目档案资料需进一步完善；项目实施成效还需加强。</w:t>
      </w:r>
    </w:p>
    <w:p>
      <w:pPr>
        <w:keepNext w:val="0"/>
        <w:keepLines w:val="0"/>
        <w:pageBreakBefore w:val="0"/>
        <w:widowControl w:val="0"/>
        <w:kinsoku/>
        <w:wordWrap/>
        <w:overflowPunct/>
        <w:topLinePunct w:val="0"/>
        <w:autoSpaceDE/>
        <w:autoSpaceDN/>
        <w:bidi w:val="0"/>
        <w:spacing w:line="520" w:lineRule="exact"/>
        <w:ind w:firstLine="624" w:firstLineChars="200"/>
        <w:jc w:val="left"/>
        <w:textAlignment w:val="auto"/>
        <w:rPr>
          <w:rFonts w:hint="eastAsia" w:ascii="仿宋" w:hAnsi="仿宋" w:eastAsia="仿宋" w:cs="仿宋"/>
          <w:kern w:val="0"/>
          <w:sz w:val="32"/>
          <w:szCs w:val="32"/>
          <w:lang w:val="zh-TW"/>
        </w:rPr>
      </w:pPr>
      <w:r>
        <w:rPr>
          <w:rStyle w:val="6"/>
          <w:rFonts w:hint="eastAsia" w:ascii="黑体" w:hAnsi="黑体" w:eastAsia="黑体"/>
          <w:b w:val="0"/>
          <w:spacing w:val="-4"/>
          <w:sz w:val="32"/>
          <w:szCs w:val="32"/>
        </w:rPr>
        <w:t>七、改进措施和建议</w:t>
      </w:r>
      <w:r>
        <w:rPr>
          <w:rFonts w:hint="eastAsia" w:ascii="仿宋" w:hAnsi="仿宋" w:eastAsia="仿宋" w:cs="仿宋"/>
          <w:kern w:val="0"/>
          <w:sz w:val="32"/>
          <w:szCs w:val="32"/>
          <w:lang w:val="zh-TW" w:eastAsia="zh-CN"/>
        </w:rPr>
        <w:t>重大公共卫生专项经费</w:t>
      </w:r>
      <w:r>
        <w:rPr>
          <w:rFonts w:hint="eastAsia" w:ascii="仿宋" w:hAnsi="仿宋" w:eastAsia="仿宋" w:cs="仿宋"/>
          <w:kern w:val="0"/>
          <w:sz w:val="32"/>
          <w:szCs w:val="32"/>
          <w:lang w:val="zh-TW"/>
        </w:rPr>
        <w:t>的使用按照政策标准，专款专用，做到政务公开，执行“阳光操作”，保证各项工作公开透明。</w:t>
      </w:r>
    </w:p>
    <w:p>
      <w:pPr>
        <w:keepNext w:val="0"/>
        <w:keepLines w:val="0"/>
        <w:pageBreakBefore w:val="0"/>
        <w:widowControl w:val="0"/>
        <w:kinsoku/>
        <w:wordWrap/>
        <w:overflowPunct/>
        <w:topLinePunct w:val="0"/>
        <w:autoSpaceDE/>
        <w:autoSpaceDN/>
        <w:bidi w:val="0"/>
        <w:spacing w:line="520" w:lineRule="exact"/>
        <w:ind w:firstLine="639"/>
        <w:textAlignment w:val="auto"/>
        <w:rPr>
          <w:rStyle w:val="6"/>
          <w:rFonts w:ascii="黑体" w:hAnsi="黑体" w:eastAsia="黑体"/>
          <w:b w:val="0"/>
          <w:spacing w:val="-4"/>
          <w:sz w:val="32"/>
          <w:szCs w:val="32"/>
        </w:rPr>
      </w:pPr>
      <w:r>
        <w:rPr>
          <w:rFonts w:hint="eastAsia" w:ascii="仿宋" w:hAnsi="仿宋" w:eastAsia="仿宋" w:cs="仿宋"/>
          <w:kern w:val="0"/>
          <w:sz w:val="32"/>
          <w:szCs w:val="32"/>
          <w:lang w:val="zh-TW"/>
        </w:rPr>
        <w:t>建议：完善重大传染病防控制度，保证</w:t>
      </w:r>
      <w:r>
        <w:rPr>
          <w:rFonts w:hint="eastAsia" w:ascii="仿宋" w:hAnsi="仿宋" w:eastAsia="仿宋" w:cs="仿宋"/>
          <w:kern w:val="0"/>
          <w:sz w:val="32"/>
          <w:szCs w:val="32"/>
          <w:lang w:val="zh-TW" w:eastAsia="zh-CN"/>
        </w:rPr>
        <w:t>减少全县</w:t>
      </w:r>
      <w:r>
        <w:rPr>
          <w:rFonts w:hint="eastAsia" w:ascii="仿宋" w:hAnsi="仿宋" w:eastAsia="仿宋" w:cs="仿宋"/>
          <w:kern w:val="0"/>
          <w:sz w:val="32"/>
          <w:szCs w:val="32"/>
          <w:lang w:val="zh-TW"/>
        </w:rPr>
        <w:t>重大传染病</w:t>
      </w:r>
      <w:r>
        <w:rPr>
          <w:rFonts w:hint="eastAsia" w:ascii="仿宋" w:hAnsi="仿宋" w:eastAsia="仿宋" w:cs="仿宋"/>
          <w:kern w:val="0"/>
          <w:sz w:val="32"/>
          <w:szCs w:val="32"/>
          <w:lang w:val="zh-TW" w:eastAsia="zh-CN"/>
        </w:rPr>
        <w:t>人</w:t>
      </w:r>
      <w:r>
        <w:rPr>
          <w:rFonts w:hint="eastAsia" w:ascii="仿宋" w:hAnsi="仿宋" w:eastAsia="仿宋" w:cs="仿宋"/>
          <w:kern w:val="0"/>
          <w:sz w:val="32"/>
          <w:szCs w:val="32"/>
          <w:lang w:val="zh-TW"/>
        </w:rPr>
        <w:t>。</w:t>
      </w:r>
    </w:p>
    <w:p>
      <w:pPr>
        <w:spacing w:line="540" w:lineRule="exact"/>
        <w:ind w:firstLine="567"/>
        <w:rPr>
          <w:rStyle w:val="6"/>
          <w:rFonts w:ascii="仿宋_GB2312" w:hAnsi="仿宋" w:eastAsia="仿宋_GB2312"/>
          <w:b w:val="0"/>
          <w:spacing w:val="-4"/>
          <w:sz w:val="32"/>
          <w:szCs w:val="32"/>
        </w:rPr>
      </w:pPr>
      <w:r>
        <w:rPr>
          <w:rStyle w:val="6"/>
          <w:rFonts w:hint="eastAsia" w:ascii="黑体" w:hAnsi="黑体" w:eastAsia="黑体"/>
          <w:b w:val="0"/>
          <w:spacing w:val="-4"/>
          <w:sz w:val="32"/>
          <w:szCs w:val="32"/>
        </w:rPr>
        <w:t>八、附表：</w:t>
      </w:r>
      <w:r>
        <w:rPr>
          <w:rStyle w:val="6"/>
          <w:rFonts w:hint="eastAsia" w:ascii="仿宋" w:hAnsi="仿宋" w:eastAsia="仿宋"/>
          <w:b w:val="0"/>
          <w:spacing w:val="-4"/>
          <w:sz w:val="32"/>
          <w:szCs w:val="32"/>
        </w:rPr>
        <w:t>《</w:t>
      </w:r>
      <w:r>
        <w:rPr>
          <w:rStyle w:val="6"/>
          <w:rFonts w:hint="eastAsia" w:ascii="仿宋_GB2312" w:hAnsi="楷体" w:eastAsia="仿宋_GB2312"/>
          <w:b w:val="0"/>
          <w:bCs w:val="0"/>
          <w:spacing w:val="-4"/>
          <w:sz w:val="32"/>
          <w:szCs w:val="32"/>
        </w:rPr>
        <w:t>部门整体支出绩效目标自评表</w:t>
      </w:r>
      <w:r>
        <w:rPr>
          <w:rStyle w:val="6"/>
          <w:rFonts w:hint="eastAsia" w:ascii="仿宋_GB2312" w:hAnsi="仿宋" w:eastAsia="仿宋_GB2312"/>
          <w:b w:val="0"/>
          <w:spacing w:val="-4"/>
          <w:sz w:val="32"/>
          <w:szCs w:val="32"/>
        </w:rPr>
        <w:t>》</w:t>
      </w:r>
    </w:p>
    <w:p>
      <w:pPr>
        <w:spacing w:line="540" w:lineRule="exact"/>
        <w:rPr>
          <w:rFonts w:ascii="仿宋" w:hAnsi="仿宋" w:eastAsia="仿宋"/>
          <w:bCs/>
          <w:spacing w:val="-4"/>
          <w:sz w:val="32"/>
          <w:szCs w:val="32"/>
        </w:rPr>
      </w:pPr>
    </w:p>
    <w:tbl>
      <w:tblPr>
        <w:tblStyle w:val="4"/>
        <w:tblW w:w="8606" w:type="dxa"/>
        <w:tblInd w:w="93" w:type="dxa"/>
        <w:tblLayout w:type="fixed"/>
        <w:tblCellMar>
          <w:top w:w="0" w:type="dxa"/>
          <w:left w:w="108" w:type="dxa"/>
          <w:bottom w:w="0" w:type="dxa"/>
          <w:right w:w="108" w:type="dxa"/>
        </w:tblCellMar>
      </w:tblPr>
      <w:tblGrid>
        <w:gridCol w:w="555"/>
        <w:gridCol w:w="762"/>
        <w:gridCol w:w="223"/>
        <w:gridCol w:w="768"/>
        <w:gridCol w:w="810"/>
        <w:gridCol w:w="2150"/>
        <w:gridCol w:w="536"/>
        <w:gridCol w:w="1114"/>
        <w:gridCol w:w="1162"/>
        <w:gridCol w:w="526"/>
      </w:tblGrid>
      <w:tr>
        <w:tblPrEx>
          <w:tblCellMar>
            <w:top w:w="0" w:type="dxa"/>
            <w:left w:w="108" w:type="dxa"/>
            <w:bottom w:w="0" w:type="dxa"/>
            <w:right w:w="108" w:type="dxa"/>
          </w:tblCellMar>
        </w:tblPrEx>
        <w:trPr>
          <w:trHeight w:val="405" w:hRule="atLeast"/>
        </w:trPr>
        <w:tc>
          <w:tcPr>
            <w:tcW w:w="8606" w:type="dxa"/>
            <w:gridSpan w:val="10"/>
            <w:tcBorders>
              <w:top w:val="nil"/>
              <w:left w:val="nil"/>
              <w:bottom w:val="nil"/>
              <w:right w:val="nil"/>
            </w:tcBorders>
            <w:shd w:val="clear" w:color="auto" w:fill="auto"/>
            <w:vAlign w:val="center"/>
          </w:tcPr>
          <w:p>
            <w:pPr>
              <w:widowControl/>
              <w:jc w:val="center"/>
              <w:rPr>
                <w:rFonts w:ascii="宋体" w:hAnsi="宋体" w:eastAsia="宋体" w:cs="宋体"/>
                <w:b/>
                <w:bCs/>
                <w:kern w:val="0"/>
                <w:sz w:val="32"/>
                <w:szCs w:val="32"/>
              </w:rPr>
            </w:pPr>
            <w:r>
              <w:rPr>
                <w:rFonts w:hint="eastAsia" w:ascii="宋体" w:hAnsi="宋体" w:eastAsia="宋体" w:cs="宋体"/>
                <w:b/>
                <w:bCs/>
                <w:kern w:val="0"/>
                <w:sz w:val="32"/>
                <w:szCs w:val="32"/>
              </w:rPr>
              <w:t>部门整体支出绩效目标自评表</w:t>
            </w:r>
          </w:p>
        </w:tc>
      </w:tr>
      <w:tr>
        <w:tblPrEx>
          <w:tblCellMar>
            <w:top w:w="0" w:type="dxa"/>
            <w:left w:w="108" w:type="dxa"/>
            <w:bottom w:w="0" w:type="dxa"/>
            <w:right w:w="108" w:type="dxa"/>
          </w:tblCellMar>
        </w:tblPrEx>
        <w:trPr>
          <w:trHeight w:val="285" w:hRule="atLeast"/>
        </w:trPr>
        <w:tc>
          <w:tcPr>
            <w:tcW w:w="8606" w:type="dxa"/>
            <w:gridSpan w:val="10"/>
            <w:tcBorders>
              <w:top w:val="nil"/>
              <w:left w:val="nil"/>
              <w:bottom w:val="nil"/>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w:t>
            </w:r>
            <w:r>
              <w:rPr>
                <w:rFonts w:hint="eastAsia" w:ascii="宋体" w:hAnsi="宋体" w:eastAsia="宋体" w:cs="宋体"/>
                <w:kern w:val="0"/>
                <w:sz w:val="24"/>
                <w:lang w:val="en-US" w:eastAsia="zh-CN"/>
              </w:rPr>
              <w:t>2019</w:t>
            </w:r>
            <w:r>
              <w:rPr>
                <w:rFonts w:hint="eastAsia" w:ascii="宋体" w:hAnsi="宋体" w:eastAsia="宋体" w:cs="宋体"/>
                <w:kern w:val="0"/>
                <w:sz w:val="24"/>
              </w:rPr>
              <w:t>年度）</w:t>
            </w:r>
          </w:p>
        </w:tc>
      </w:tr>
      <w:tr>
        <w:tblPrEx>
          <w:tblCellMar>
            <w:top w:w="0" w:type="dxa"/>
            <w:left w:w="108" w:type="dxa"/>
            <w:bottom w:w="0" w:type="dxa"/>
            <w:right w:w="108" w:type="dxa"/>
          </w:tblCellMar>
        </w:tblPrEx>
        <w:trPr>
          <w:trHeight w:val="285" w:hRule="atLeast"/>
        </w:trPr>
        <w:tc>
          <w:tcPr>
            <w:tcW w:w="555"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762"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223"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768"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810"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2150"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536"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1114"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1162"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22"/>
                <w:szCs w:val="22"/>
              </w:rPr>
            </w:pPr>
          </w:p>
        </w:tc>
        <w:tc>
          <w:tcPr>
            <w:tcW w:w="526"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285" w:hRule="atLeast"/>
        </w:trPr>
        <w:tc>
          <w:tcPr>
            <w:tcW w:w="1540"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部门名称</w:t>
            </w:r>
          </w:p>
        </w:tc>
        <w:tc>
          <w:tcPr>
            <w:tcW w:w="7066"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lang w:eastAsia="zh-CN"/>
              </w:rPr>
              <w:t>泽普县卫生健康委员会</w:t>
            </w:r>
          </w:p>
        </w:tc>
      </w:tr>
      <w:tr>
        <w:tblPrEx>
          <w:tblCellMar>
            <w:top w:w="0" w:type="dxa"/>
            <w:left w:w="108" w:type="dxa"/>
            <w:bottom w:w="0" w:type="dxa"/>
            <w:right w:w="108" w:type="dxa"/>
          </w:tblCellMar>
        </w:tblPrEx>
        <w:trPr>
          <w:trHeight w:val="285" w:hRule="atLeast"/>
        </w:trPr>
        <w:tc>
          <w:tcPr>
            <w:tcW w:w="55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年度</w:t>
            </w:r>
            <w:r>
              <w:rPr>
                <w:rFonts w:hint="eastAsia" w:ascii="宋体" w:hAnsi="宋体" w:eastAsia="宋体" w:cs="宋体"/>
                <w:kern w:val="0"/>
                <w:sz w:val="24"/>
              </w:rPr>
              <w:br w:type="textWrapping"/>
            </w:r>
            <w:r>
              <w:rPr>
                <w:rFonts w:hint="eastAsia" w:ascii="宋体" w:hAnsi="宋体" w:eastAsia="宋体" w:cs="宋体"/>
                <w:kern w:val="0"/>
                <w:sz w:val="24"/>
              </w:rPr>
              <w:t>主要</w:t>
            </w:r>
            <w:r>
              <w:rPr>
                <w:rFonts w:hint="eastAsia" w:ascii="宋体" w:hAnsi="宋体" w:eastAsia="宋体" w:cs="宋体"/>
                <w:kern w:val="0"/>
                <w:sz w:val="24"/>
              </w:rPr>
              <w:br w:type="textWrapping"/>
            </w:r>
            <w:r>
              <w:rPr>
                <w:rFonts w:hint="eastAsia" w:ascii="宋体" w:hAnsi="宋体" w:eastAsia="宋体" w:cs="宋体"/>
                <w:kern w:val="0"/>
                <w:sz w:val="24"/>
              </w:rPr>
              <w:t>任务</w:t>
            </w:r>
          </w:p>
        </w:tc>
        <w:tc>
          <w:tcPr>
            <w:tcW w:w="985"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任务名称</w:t>
            </w:r>
          </w:p>
        </w:tc>
        <w:tc>
          <w:tcPr>
            <w:tcW w:w="76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主要内容</w:t>
            </w:r>
          </w:p>
        </w:tc>
        <w:tc>
          <w:tcPr>
            <w:tcW w:w="2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预算金额（万元）</w:t>
            </w:r>
          </w:p>
        </w:tc>
        <w:tc>
          <w:tcPr>
            <w:tcW w:w="3338"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实际执行（万元）</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85"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76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8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总额</w:t>
            </w:r>
          </w:p>
        </w:tc>
        <w:tc>
          <w:tcPr>
            <w:tcW w:w="21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财政拨款</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其他资金</w:t>
            </w:r>
          </w:p>
        </w:tc>
        <w:tc>
          <w:tcPr>
            <w:tcW w:w="111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总额</w:t>
            </w:r>
          </w:p>
        </w:tc>
        <w:tc>
          <w:tcPr>
            <w:tcW w:w="11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财政拨款</w:t>
            </w:r>
          </w:p>
        </w:tc>
        <w:tc>
          <w:tcPr>
            <w:tcW w:w="5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其他资金</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85"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4"/>
                <w:lang w:eastAsia="zh-CN"/>
              </w:rPr>
            </w:pPr>
            <w:r>
              <w:rPr>
                <w:rFonts w:hint="eastAsia" w:ascii="宋体" w:hAnsi="宋体" w:eastAsia="宋体" w:cs="宋体"/>
                <w:kern w:val="0"/>
                <w:sz w:val="24"/>
                <w:lang w:eastAsia="zh-CN"/>
              </w:rPr>
              <w:t>重大传染病防控专项经费</w:t>
            </w:r>
          </w:p>
        </w:tc>
        <w:tc>
          <w:tcPr>
            <w:tcW w:w="768" w:type="dxa"/>
            <w:tcBorders>
              <w:top w:val="nil"/>
              <w:left w:val="nil"/>
              <w:bottom w:val="single" w:color="auto" w:sz="4" w:space="0"/>
              <w:right w:val="nil"/>
            </w:tcBorders>
            <w:shd w:val="clear" w:color="auto" w:fill="auto"/>
            <w:vAlign w:val="center"/>
          </w:tcPr>
          <w:p>
            <w:pPr>
              <w:widowControl/>
              <w:jc w:val="left"/>
              <w:rPr>
                <w:rFonts w:hint="eastAsia" w:ascii="宋体" w:hAnsi="宋体" w:eastAsia="宋体" w:cs="宋体"/>
                <w:kern w:val="0"/>
                <w:sz w:val="24"/>
                <w:lang w:eastAsia="zh-CN"/>
              </w:rPr>
            </w:pPr>
            <w:r>
              <w:rPr>
                <w:rFonts w:hint="eastAsia" w:ascii="宋体" w:hAnsi="宋体" w:eastAsia="宋体" w:cs="宋体"/>
                <w:kern w:val="0"/>
                <w:sz w:val="24"/>
              </w:rPr>
              <w:t>　</w:t>
            </w:r>
            <w:r>
              <w:rPr>
                <w:rFonts w:hint="eastAsia" w:ascii="宋体" w:hAnsi="宋体" w:eastAsia="宋体" w:cs="宋体"/>
                <w:kern w:val="0"/>
                <w:sz w:val="24"/>
                <w:lang w:eastAsia="zh-CN"/>
              </w:rPr>
              <w:t>重大传染病防控专项经费</w:t>
            </w:r>
          </w:p>
        </w:tc>
        <w:tc>
          <w:tcPr>
            <w:tcW w:w="81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1"/>
                <w:szCs w:val="21"/>
                <w:lang w:val="en-US" w:eastAsia="zh-CN"/>
              </w:rPr>
            </w:pPr>
            <w:r>
              <w:rPr>
                <w:rFonts w:hint="eastAsia" w:ascii="宋体" w:hAnsi="宋体" w:eastAsia="宋体" w:cs="宋体"/>
                <w:kern w:val="0"/>
                <w:sz w:val="21"/>
                <w:szCs w:val="21"/>
              </w:rPr>
              <w:t>　</w:t>
            </w:r>
            <w:r>
              <w:rPr>
                <w:rFonts w:hint="eastAsia" w:ascii="宋体" w:hAnsi="宋体" w:eastAsia="宋体" w:cs="宋体"/>
                <w:kern w:val="0"/>
                <w:sz w:val="21"/>
                <w:szCs w:val="21"/>
                <w:lang w:val="en-US" w:eastAsia="zh-CN"/>
              </w:rPr>
              <w:t>310.47</w:t>
            </w:r>
          </w:p>
        </w:tc>
        <w:tc>
          <w:tcPr>
            <w:tcW w:w="2150"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eastAsia="宋体" w:cs="宋体"/>
                <w:kern w:val="0"/>
                <w:sz w:val="48"/>
                <w:szCs w:val="48"/>
              </w:rPr>
              <w:t>　</w:t>
            </w:r>
            <w:r>
              <w:rPr>
                <w:rFonts w:hint="eastAsia" w:ascii="仿宋" w:hAnsi="仿宋" w:eastAsia="仿宋" w:cs="仿宋"/>
                <w:kern w:val="0"/>
                <w:sz w:val="32"/>
                <w:szCs w:val="32"/>
                <w:lang w:val="en-US" w:eastAsia="zh-CN"/>
              </w:rPr>
              <w:t>310.47</w:t>
            </w:r>
          </w:p>
        </w:tc>
        <w:tc>
          <w:tcPr>
            <w:tcW w:w="5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eastAsia="宋体" w:cs="宋体"/>
                <w:kern w:val="0"/>
                <w:sz w:val="24"/>
              </w:rPr>
              <w:t>　</w:t>
            </w:r>
            <w:r>
              <w:rPr>
                <w:rFonts w:hint="eastAsia" w:ascii="仿宋" w:hAnsi="仿宋" w:eastAsia="仿宋" w:cs="仿宋"/>
                <w:kern w:val="0"/>
                <w:sz w:val="32"/>
                <w:szCs w:val="32"/>
                <w:lang w:val="en-US" w:eastAsia="zh-CN"/>
              </w:rPr>
              <w:t>310.47</w:t>
            </w:r>
          </w:p>
        </w:tc>
        <w:tc>
          <w:tcPr>
            <w:tcW w:w="116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eastAsia="宋体" w:cs="宋体"/>
                <w:kern w:val="0"/>
                <w:sz w:val="24"/>
              </w:rPr>
              <w:t>　</w:t>
            </w:r>
            <w:r>
              <w:rPr>
                <w:rFonts w:hint="eastAsia" w:ascii="仿宋" w:hAnsi="仿宋" w:eastAsia="仿宋" w:cs="仿宋"/>
                <w:kern w:val="0"/>
                <w:sz w:val="32"/>
                <w:szCs w:val="32"/>
                <w:lang w:val="en-US" w:eastAsia="zh-CN"/>
              </w:rPr>
              <w:t>310.47</w:t>
            </w:r>
          </w:p>
        </w:tc>
        <w:tc>
          <w:tcPr>
            <w:tcW w:w="5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85"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p>
        </w:tc>
        <w:tc>
          <w:tcPr>
            <w:tcW w:w="768" w:type="dxa"/>
            <w:tcBorders>
              <w:top w:val="nil"/>
              <w:left w:val="nil"/>
              <w:bottom w:val="single" w:color="auto" w:sz="4" w:space="0"/>
              <w:right w:val="nil"/>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81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21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85"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p>
        </w:tc>
        <w:tc>
          <w:tcPr>
            <w:tcW w:w="768" w:type="dxa"/>
            <w:tcBorders>
              <w:top w:val="nil"/>
              <w:left w:val="nil"/>
              <w:bottom w:val="single" w:color="auto" w:sz="4" w:space="0"/>
              <w:right w:val="nil"/>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81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21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85"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p>
        </w:tc>
        <w:tc>
          <w:tcPr>
            <w:tcW w:w="768" w:type="dxa"/>
            <w:tcBorders>
              <w:top w:val="nil"/>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w:t>
            </w:r>
          </w:p>
        </w:tc>
        <w:tc>
          <w:tcPr>
            <w:tcW w:w="81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21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85"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w:t>
            </w:r>
          </w:p>
        </w:tc>
        <w:tc>
          <w:tcPr>
            <w:tcW w:w="768" w:type="dxa"/>
            <w:tcBorders>
              <w:top w:val="nil"/>
              <w:left w:val="nil"/>
              <w:bottom w:val="single" w:color="auto" w:sz="4" w:space="0"/>
              <w:right w:val="nil"/>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81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21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1753" w:type="dxa"/>
            <w:gridSpan w:val="3"/>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金额合计</w:t>
            </w:r>
          </w:p>
        </w:tc>
        <w:tc>
          <w:tcPr>
            <w:tcW w:w="8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21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5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w:t>
            </w:r>
          </w:p>
        </w:tc>
        <w:tc>
          <w:tcPr>
            <w:tcW w:w="2563" w:type="dxa"/>
            <w:gridSpan w:val="4"/>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预期目标</w:t>
            </w:r>
          </w:p>
        </w:tc>
        <w:tc>
          <w:tcPr>
            <w:tcW w:w="5488" w:type="dxa"/>
            <w:gridSpan w:val="5"/>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实际完成目标</w:t>
            </w:r>
          </w:p>
        </w:tc>
      </w:tr>
      <w:tr>
        <w:tblPrEx>
          <w:tblCellMar>
            <w:top w:w="0" w:type="dxa"/>
            <w:left w:w="108" w:type="dxa"/>
            <w:bottom w:w="0" w:type="dxa"/>
            <w:right w:w="108" w:type="dxa"/>
          </w:tblCellMar>
        </w:tblPrEx>
        <w:trPr>
          <w:trHeight w:val="2070" w:hRule="atLeast"/>
        </w:trPr>
        <w:tc>
          <w:tcPr>
            <w:tcW w:w="55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年度</w:t>
            </w:r>
            <w:r>
              <w:rPr>
                <w:rFonts w:hint="eastAsia" w:ascii="宋体" w:hAnsi="宋体" w:eastAsia="宋体" w:cs="宋体"/>
                <w:kern w:val="0"/>
                <w:sz w:val="24"/>
              </w:rPr>
              <w:br w:type="textWrapping"/>
            </w:r>
            <w:r>
              <w:rPr>
                <w:rFonts w:hint="eastAsia" w:ascii="宋体" w:hAnsi="宋体" w:eastAsia="宋体" w:cs="宋体"/>
                <w:kern w:val="0"/>
                <w:sz w:val="24"/>
              </w:rPr>
              <w:t>总体</w:t>
            </w:r>
            <w:r>
              <w:rPr>
                <w:rFonts w:hint="eastAsia" w:ascii="宋体" w:hAnsi="宋体" w:eastAsia="宋体" w:cs="宋体"/>
                <w:kern w:val="0"/>
                <w:sz w:val="24"/>
              </w:rPr>
              <w:br w:type="textWrapping"/>
            </w:r>
            <w:r>
              <w:rPr>
                <w:rFonts w:hint="eastAsia" w:ascii="宋体" w:hAnsi="宋体" w:eastAsia="宋体" w:cs="宋体"/>
                <w:kern w:val="0"/>
                <w:sz w:val="24"/>
              </w:rPr>
              <w:t>目标</w:t>
            </w:r>
          </w:p>
        </w:tc>
        <w:tc>
          <w:tcPr>
            <w:tcW w:w="2563" w:type="dxa"/>
            <w:gridSpan w:val="4"/>
            <w:tcBorders>
              <w:top w:val="single" w:color="auto" w:sz="4" w:space="0"/>
              <w:left w:val="nil"/>
              <w:bottom w:val="single" w:color="auto" w:sz="4" w:space="0"/>
              <w:right w:val="single" w:color="auto" w:sz="4" w:space="0"/>
            </w:tcBorders>
            <w:shd w:val="clear" w:color="auto" w:fill="auto"/>
          </w:tcPr>
          <w:p>
            <w:pPr>
              <w:widowControl/>
              <w:jc w:val="left"/>
              <w:rPr>
                <w:rFonts w:ascii="宋体" w:hAnsi="宋体" w:eastAsia="宋体" w:cs="宋体"/>
                <w:kern w:val="0"/>
                <w:sz w:val="24"/>
              </w:rPr>
            </w:pPr>
            <w:r>
              <w:rPr>
                <w:rFonts w:hint="eastAsia" w:ascii="宋体" w:hAnsi="宋体" w:eastAsia="宋体" w:cs="宋体"/>
                <w:kern w:val="0"/>
                <w:sz w:val="24"/>
              </w:rPr>
              <w:t xml:space="preserve">1、提高肺结核患者治疗依从性，有效控制传染源；                                                        2、降低结核病的感染、发病与死亡，提高患者成功治疗率；                                                         3、最大限度发现艾滋病感染者和病人，有效控制性传播；                                                      4、提高艾滋病感染者和病人生存质量，不断减少社会歧视；                                             5、继续保持无脊髓灰质炎状态；进一步控制和降低疫苗针对传染病的发病。 </w:t>
            </w:r>
          </w:p>
        </w:tc>
        <w:tc>
          <w:tcPr>
            <w:tcW w:w="5488" w:type="dxa"/>
            <w:gridSpan w:val="5"/>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eastAsia="宋体" w:cs="宋体"/>
                <w:kern w:val="0"/>
                <w:sz w:val="24"/>
              </w:rPr>
            </w:pPr>
            <w:r>
              <w:rPr>
                <w:rFonts w:hint="eastAsia"/>
              </w:rPr>
              <w:t>推进结核病防治工作；提高受艾滋病影响人群生活质量，减轻感染者医疗负担、进一步完善医疗救助制度，不断降低艾滋病疫情流行水平；加强对冷链设备的监督管理，进一步控制和降低疫苗针对传染病发病率。</w:t>
            </w:r>
          </w:p>
        </w:tc>
      </w:tr>
      <w:tr>
        <w:tblPrEx>
          <w:tblCellMar>
            <w:top w:w="0" w:type="dxa"/>
            <w:left w:w="108" w:type="dxa"/>
            <w:bottom w:w="0" w:type="dxa"/>
            <w:right w:w="108" w:type="dxa"/>
          </w:tblCellMar>
        </w:tblPrEx>
        <w:trPr>
          <w:trHeight w:val="2583" w:hRule="atLeast"/>
        </w:trPr>
        <w:tc>
          <w:tcPr>
            <w:tcW w:w="55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年</w:t>
            </w:r>
            <w:r>
              <w:rPr>
                <w:rFonts w:hint="eastAsia" w:ascii="宋体" w:hAnsi="宋体" w:eastAsia="宋体" w:cs="宋体"/>
                <w:kern w:val="0"/>
                <w:sz w:val="24"/>
              </w:rPr>
              <w:br w:type="textWrapping"/>
            </w:r>
            <w:r>
              <w:rPr>
                <w:rFonts w:hint="eastAsia" w:ascii="宋体" w:hAnsi="宋体" w:eastAsia="宋体" w:cs="宋体"/>
                <w:kern w:val="0"/>
                <w:sz w:val="24"/>
              </w:rPr>
              <w:t>度</w:t>
            </w:r>
            <w:r>
              <w:rPr>
                <w:rFonts w:hint="eastAsia" w:ascii="宋体" w:hAnsi="宋体" w:eastAsia="宋体" w:cs="宋体"/>
                <w:kern w:val="0"/>
                <w:sz w:val="24"/>
              </w:rPr>
              <w:br w:type="textWrapping"/>
            </w:r>
            <w:r>
              <w:rPr>
                <w:rFonts w:hint="eastAsia" w:ascii="宋体" w:hAnsi="宋体" w:eastAsia="宋体" w:cs="宋体"/>
                <w:kern w:val="0"/>
                <w:sz w:val="24"/>
              </w:rPr>
              <w:t>绩</w:t>
            </w:r>
            <w:r>
              <w:rPr>
                <w:rFonts w:hint="eastAsia" w:ascii="宋体" w:hAnsi="宋体" w:eastAsia="宋体" w:cs="宋体"/>
                <w:kern w:val="0"/>
                <w:sz w:val="24"/>
              </w:rPr>
              <w:br w:type="textWrapping"/>
            </w:r>
            <w:r>
              <w:rPr>
                <w:rFonts w:hint="eastAsia" w:ascii="宋体" w:hAnsi="宋体" w:eastAsia="宋体" w:cs="宋体"/>
                <w:kern w:val="0"/>
                <w:sz w:val="24"/>
              </w:rPr>
              <w:t>效</w:t>
            </w:r>
            <w:r>
              <w:rPr>
                <w:rFonts w:hint="eastAsia" w:ascii="宋体" w:hAnsi="宋体" w:eastAsia="宋体" w:cs="宋体"/>
                <w:kern w:val="0"/>
                <w:sz w:val="24"/>
              </w:rPr>
              <w:br w:type="textWrapping"/>
            </w:r>
            <w:r>
              <w:rPr>
                <w:rFonts w:hint="eastAsia" w:ascii="宋体" w:hAnsi="宋体" w:eastAsia="宋体" w:cs="宋体"/>
                <w:kern w:val="0"/>
                <w:sz w:val="24"/>
              </w:rPr>
              <w:t>指</w:t>
            </w:r>
            <w:r>
              <w:rPr>
                <w:rFonts w:hint="eastAsia" w:ascii="宋体" w:hAnsi="宋体" w:eastAsia="宋体" w:cs="宋体"/>
                <w:kern w:val="0"/>
                <w:sz w:val="24"/>
              </w:rPr>
              <w:br w:type="textWrapping"/>
            </w:r>
            <w:r>
              <w:rPr>
                <w:rFonts w:hint="eastAsia" w:ascii="宋体" w:hAnsi="宋体" w:eastAsia="宋体" w:cs="宋体"/>
                <w:kern w:val="0"/>
                <w:sz w:val="24"/>
              </w:rPr>
              <w:t>标</w:t>
            </w:r>
          </w:p>
        </w:tc>
        <w:tc>
          <w:tcPr>
            <w:tcW w:w="7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一级指标</w:t>
            </w:r>
          </w:p>
        </w:tc>
        <w:tc>
          <w:tcPr>
            <w:tcW w:w="99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二级指标</w:t>
            </w:r>
          </w:p>
        </w:tc>
        <w:tc>
          <w:tcPr>
            <w:tcW w:w="2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三级指标</w:t>
            </w:r>
          </w:p>
        </w:tc>
        <w:tc>
          <w:tcPr>
            <w:tcW w:w="165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4"/>
              </w:rPr>
            </w:pPr>
            <w:r>
              <w:rPr>
                <w:rFonts w:hint="eastAsia" w:ascii="宋体" w:hAnsi="宋体" w:eastAsia="宋体" w:cs="宋体"/>
                <w:color w:val="000000"/>
                <w:kern w:val="0"/>
                <w:sz w:val="24"/>
              </w:rPr>
              <w:t>预期指标值（包含数字及文字描述）</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实际完成指标值（包含数字及文字描述）</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完成指标</w:t>
            </w:r>
          </w:p>
        </w:tc>
        <w:tc>
          <w:tcPr>
            <w:tcW w:w="991"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数量指标</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肺结核患者和疑似肺结核患者的总体到位率（%）</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eastAsia="宋体" w:cs="宋体"/>
                <w:kern w:val="0"/>
                <w:sz w:val="24"/>
              </w:rPr>
              <w:t>　　</w:t>
            </w:r>
            <w:r>
              <w:rPr>
                <w:rFonts w:hint="eastAsia" w:ascii="宋体" w:hAnsi="宋体" w:eastAsia="宋体" w:cs="宋体"/>
                <w:kern w:val="0"/>
                <w:sz w:val="24"/>
                <w:lang w:val="en-US" w:eastAsia="zh-CN"/>
              </w:rPr>
              <w:t>95</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lang w:val="en-US" w:eastAsia="zh-CN"/>
              </w:rPr>
              <w:t>90</w:t>
            </w: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艾滋病感染者及病人病毒载量检测率（%）</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eastAsia="宋体" w:cs="宋体"/>
                <w:kern w:val="0"/>
                <w:sz w:val="24"/>
              </w:rPr>
              <w:t>　</w:t>
            </w:r>
            <w:r>
              <w:rPr>
                <w:rFonts w:hint="eastAsia" w:ascii="宋体" w:hAnsi="宋体" w:eastAsia="宋体" w:cs="宋体"/>
                <w:kern w:val="0"/>
                <w:sz w:val="24"/>
                <w:lang w:val="en-US" w:eastAsia="zh-CN"/>
              </w:rPr>
              <w:t>90</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lang w:val="en-US" w:eastAsia="zh-CN"/>
              </w:rPr>
              <w:t>85</w:t>
            </w: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艾滋病感染者及病人随访CD4年度检测率（%）</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eastAsia="宋体" w:cs="宋体"/>
                <w:kern w:val="0"/>
                <w:sz w:val="24"/>
              </w:rPr>
              <w:t>　</w:t>
            </w:r>
            <w:r>
              <w:rPr>
                <w:rFonts w:hint="eastAsia" w:ascii="宋体" w:hAnsi="宋体" w:eastAsia="宋体" w:cs="宋体"/>
                <w:kern w:val="0"/>
                <w:sz w:val="24"/>
                <w:lang w:val="en-US" w:eastAsia="zh-CN"/>
              </w:rPr>
              <w:t>90</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lang w:val="en-US" w:eastAsia="zh-CN"/>
              </w:rPr>
              <w:t>90</w:t>
            </w: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质量指标</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xml:space="preserve">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p>
        </w:tc>
        <w:tc>
          <w:tcPr>
            <w:tcW w:w="536" w:type="dxa"/>
            <w:tcBorders>
              <w:top w:val="nil"/>
              <w:left w:val="single" w:color="auto" w:sz="4" w:space="0"/>
              <w:bottom w:val="single" w:color="auto" w:sz="4" w:space="0"/>
              <w:right w:val="nil"/>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时效指标</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资金到位及时率</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eastAsia="宋体" w:cs="宋体"/>
                <w:kern w:val="0"/>
                <w:sz w:val="24"/>
              </w:rPr>
              <w:t>　</w:t>
            </w:r>
            <w:r>
              <w:rPr>
                <w:rFonts w:hint="eastAsia" w:ascii="宋体" w:hAnsi="宋体" w:eastAsia="宋体" w:cs="宋体"/>
                <w:kern w:val="0"/>
                <w:sz w:val="24"/>
                <w:lang w:val="en-US" w:eastAsia="zh-CN"/>
              </w:rPr>
              <w:t>100</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default"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100</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项目完成及时率</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eastAsia="宋体" w:cs="宋体"/>
                <w:kern w:val="0"/>
                <w:sz w:val="24"/>
              </w:rPr>
              <w:t>　</w:t>
            </w:r>
            <w:r>
              <w:rPr>
                <w:rFonts w:hint="eastAsia" w:ascii="宋体" w:hAnsi="宋体" w:eastAsia="宋体" w:cs="宋体"/>
                <w:kern w:val="0"/>
                <w:sz w:val="24"/>
                <w:lang w:val="en-US" w:eastAsia="zh-CN"/>
              </w:rPr>
              <w:t>100</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lang w:val="en-US" w:eastAsia="zh-CN"/>
              </w:rPr>
              <w:t>100</w:t>
            </w: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p>
        </w:tc>
        <w:tc>
          <w:tcPr>
            <w:tcW w:w="536" w:type="dxa"/>
            <w:tcBorders>
              <w:top w:val="nil"/>
              <w:left w:val="single" w:color="auto" w:sz="4" w:space="0"/>
              <w:bottom w:val="single" w:color="auto" w:sz="4" w:space="0"/>
              <w:right w:val="nil"/>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成本指标</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泽普县总成本（万元）</w:t>
            </w:r>
          </w:p>
        </w:tc>
        <w:tc>
          <w:tcPr>
            <w:tcW w:w="536" w:type="dxa"/>
            <w:tcBorders>
              <w:top w:val="nil"/>
              <w:left w:val="single" w:color="auto" w:sz="4" w:space="0"/>
              <w:bottom w:val="single" w:color="auto" w:sz="4" w:space="0"/>
              <w:right w:val="nil"/>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仿宋" w:hAnsi="仿宋" w:eastAsia="仿宋" w:cs="仿宋"/>
                <w:kern w:val="0"/>
                <w:sz w:val="32"/>
                <w:szCs w:val="32"/>
                <w:lang w:val="en-US" w:eastAsia="zh-CN"/>
              </w:rPr>
              <w:t>310.47</w:t>
            </w:r>
            <w:r>
              <w:rPr>
                <w:rFonts w:hint="eastAsia" w:ascii="宋体" w:hAnsi="宋体" w:eastAsia="宋体" w:cs="宋体"/>
                <w:kern w:val="0"/>
                <w:sz w:val="24"/>
                <w:lang w:val="en-US" w:eastAsia="zh-CN"/>
              </w:rPr>
              <w:t>万元</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仿宋" w:hAnsi="仿宋" w:eastAsia="仿宋" w:cs="仿宋"/>
                <w:kern w:val="0"/>
                <w:sz w:val="32"/>
                <w:szCs w:val="32"/>
                <w:lang w:val="en-US" w:eastAsia="zh-CN"/>
              </w:rPr>
              <w:t>310.47</w:t>
            </w:r>
            <w:r>
              <w:rPr>
                <w:rFonts w:hint="eastAsia" w:ascii="宋体" w:hAnsi="宋体" w:eastAsia="宋体" w:cs="宋体"/>
                <w:kern w:val="0"/>
                <w:sz w:val="24"/>
                <w:lang w:val="en-US" w:eastAsia="zh-CN"/>
              </w:rPr>
              <w:t>万元</w:t>
            </w: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xml:space="preserve">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效益指标</w:t>
            </w:r>
          </w:p>
        </w:tc>
        <w:tc>
          <w:tcPr>
            <w:tcW w:w="991"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经济效益</w:t>
            </w:r>
            <w:r>
              <w:rPr>
                <w:rFonts w:hint="eastAsia" w:ascii="宋体" w:hAnsi="宋体" w:eastAsia="宋体" w:cs="宋体"/>
                <w:kern w:val="0"/>
                <w:sz w:val="24"/>
              </w:rPr>
              <w:br w:type="textWrapping"/>
            </w:r>
            <w:r>
              <w:rPr>
                <w:rFonts w:hint="eastAsia" w:ascii="宋体" w:hAnsi="宋体" w:eastAsia="宋体" w:cs="宋体"/>
                <w:kern w:val="0"/>
                <w:sz w:val="24"/>
              </w:rPr>
              <w:t>指标</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xml:space="preserve">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p>
        </w:tc>
        <w:tc>
          <w:tcPr>
            <w:tcW w:w="536" w:type="dxa"/>
            <w:tcBorders>
              <w:top w:val="nil"/>
              <w:left w:val="single" w:color="auto" w:sz="4" w:space="0"/>
              <w:bottom w:val="single" w:color="auto" w:sz="4" w:space="0"/>
              <w:right w:val="nil"/>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社会效益</w:t>
            </w:r>
            <w:r>
              <w:rPr>
                <w:rFonts w:hint="eastAsia" w:ascii="宋体" w:hAnsi="宋体" w:eastAsia="宋体" w:cs="宋体"/>
                <w:kern w:val="0"/>
                <w:sz w:val="24"/>
              </w:rPr>
              <w:br w:type="textWrapping"/>
            </w:r>
            <w:r>
              <w:rPr>
                <w:rFonts w:hint="eastAsia" w:ascii="宋体" w:hAnsi="宋体" w:eastAsia="宋体" w:cs="宋体"/>
                <w:kern w:val="0"/>
                <w:sz w:val="24"/>
              </w:rPr>
              <w:t>指标</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xml:space="preserve">麻疹监测发病率、流脑监测发病率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较往年有所下降　</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较往年有所下降</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xml:space="preserve">肺结核患者成功治疗率（%）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eastAsia="宋体" w:cs="宋体"/>
                <w:kern w:val="0"/>
                <w:sz w:val="24"/>
              </w:rPr>
              <w:t>　</w:t>
            </w:r>
            <w:r>
              <w:rPr>
                <w:rFonts w:hint="eastAsia" w:ascii="宋体" w:hAnsi="宋体" w:eastAsia="宋体" w:cs="宋体"/>
                <w:kern w:val="0"/>
                <w:sz w:val="24"/>
                <w:lang w:val="en-US" w:eastAsia="zh-CN"/>
              </w:rPr>
              <w:t>90</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lang w:val="en-US" w:eastAsia="zh-CN"/>
              </w:rPr>
              <w:t>90</w:t>
            </w: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p>
        </w:tc>
        <w:tc>
          <w:tcPr>
            <w:tcW w:w="536" w:type="dxa"/>
            <w:tcBorders>
              <w:top w:val="nil"/>
              <w:left w:val="single" w:color="auto" w:sz="4" w:space="0"/>
              <w:bottom w:val="single" w:color="auto" w:sz="4" w:space="0"/>
              <w:right w:val="nil"/>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生态效益</w:t>
            </w:r>
            <w:r>
              <w:rPr>
                <w:rFonts w:hint="eastAsia" w:ascii="宋体" w:hAnsi="宋体" w:eastAsia="宋体" w:cs="宋体"/>
                <w:kern w:val="0"/>
                <w:sz w:val="24"/>
              </w:rPr>
              <w:br w:type="textWrapping"/>
            </w:r>
            <w:r>
              <w:rPr>
                <w:rFonts w:hint="eastAsia" w:ascii="宋体" w:hAnsi="宋体" w:eastAsia="宋体" w:cs="宋体"/>
                <w:kern w:val="0"/>
                <w:sz w:val="24"/>
              </w:rPr>
              <w:t>指标</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xml:space="preserve">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xml:space="preserve">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p>
        </w:tc>
        <w:tc>
          <w:tcPr>
            <w:tcW w:w="536" w:type="dxa"/>
            <w:tcBorders>
              <w:top w:val="nil"/>
              <w:left w:val="single" w:color="auto" w:sz="4" w:space="0"/>
              <w:bottom w:val="single" w:color="auto" w:sz="4" w:space="0"/>
              <w:right w:val="nil"/>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可持续影响</w:t>
            </w:r>
            <w:r>
              <w:rPr>
                <w:rFonts w:hint="eastAsia" w:ascii="宋体" w:hAnsi="宋体" w:eastAsia="宋体" w:cs="宋体"/>
                <w:kern w:val="0"/>
                <w:sz w:val="24"/>
              </w:rPr>
              <w:br w:type="textWrapping"/>
            </w:r>
            <w:r>
              <w:rPr>
                <w:rFonts w:hint="eastAsia" w:ascii="宋体" w:hAnsi="宋体" w:eastAsia="宋体" w:cs="宋体"/>
                <w:kern w:val="0"/>
                <w:sz w:val="24"/>
              </w:rPr>
              <w:t>指标</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提高患者治愈率</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hint="eastAsia" w:ascii="宋体" w:hAnsi="宋体" w:eastAsia="宋体" w:cs="宋体"/>
                <w:kern w:val="0"/>
                <w:sz w:val="24"/>
                <w:lang w:eastAsia="zh-CN"/>
              </w:rPr>
            </w:pPr>
            <w:r>
              <w:rPr>
                <w:rFonts w:hint="eastAsia" w:ascii="宋体" w:hAnsi="宋体" w:eastAsia="宋体" w:cs="宋体"/>
                <w:kern w:val="0"/>
                <w:sz w:val="24"/>
              </w:rPr>
              <w:t>　</w:t>
            </w:r>
            <w:r>
              <w:rPr>
                <w:rFonts w:hint="eastAsia" w:ascii="宋体" w:hAnsi="宋体" w:eastAsia="宋体" w:cs="宋体"/>
                <w:kern w:val="0"/>
                <w:sz w:val="24"/>
                <w:lang w:eastAsia="zh-CN"/>
              </w:rPr>
              <w:t>提高</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lang w:eastAsia="zh-CN"/>
              </w:rPr>
              <w:t>提高</w:t>
            </w: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xml:space="preserve">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p>
        </w:tc>
        <w:tc>
          <w:tcPr>
            <w:tcW w:w="536" w:type="dxa"/>
            <w:tcBorders>
              <w:top w:val="nil"/>
              <w:left w:val="single" w:color="auto" w:sz="4" w:space="0"/>
              <w:bottom w:val="single" w:color="auto" w:sz="4" w:space="0"/>
              <w:right w:val="nil"/>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both"/>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97"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满意度</w:t>
            </w:r>
            <w:r>
              <w:rPr>
                <w:rFonts w:hint="eastAsia" w:ascii="宋体" w:hAnsi="宋体" w:eastAsia="宋体" w:cs="宋体"/>
                <w:kern w:val="0"/>
                <w:sz w:val="24"/>
              </w:rPr>
              <w:br w:type="textWrapping"/>
            </w:r>
            <w:r>
              <w:rPr>
                <w:rFonts w:hint="eastAsia" w:ascii="宋体" w:hAnsi="宋体" w:eastAsia="宋体" w:cs="宋体"/>
                <w:kern w:val="0"/>
                <w:sz w:val="24"/>
              </w:rPr>
              <w:t>指标</w:t>
            </w:r>
          </w:p>
        </w:tc>
        <w:tc>
          <w:tcPr>
            <w:tcW w:w="991"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满意度指标</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患者满意度指标</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90</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default"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90</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xml:space="preserve">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p>
        </w:tc>
        <w:tc>
          <w:tcPr>
            <w:tcW w:w="536" w:type="dxa"/>
            <w:tcBorders>
              <w:top w:val="nil"/>
              <w:left w:val="single" w:color="auto" w:sz="4" w:space="0"/>
              <w:bottom w:val="single" w:color="auto" w:sz="4" w:space="0"/>
              <w:right w:val="nil"/>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rPr>
            </w:pPr>
          </w:p>
        </w:tc>
        <w:tc>
          <w:tcPr>
            <w:tcW w:w="99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both"/>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bl>
    <w:p>
      <w:pPr>
        <w:snapToGrid w:val="0"/>
        <w:spacing w:line="480" w:lineRule="auto"/>
        <w:rPr>
          <w:rFonts w:ascii="仿宋" w:hAnsi="仿宋" w:eastAsia="仿宋" w:cs="宋体"/>
          <w:color w:val="333333"/>
          <w:sz w:val="32"/>
          <w:szCs w:val="32"/>
        </w:rPr>
      </w:pPr>
    </w:p>
    <w:p/>
    <w:sectPr>
      <w:footerReference r:id="rId3" w:type="default"/>
      <w:pgSz w:w="11906" w:h="16838"/>
      <w:pgMar w:top="1440" w:right="1800" w:bottom="1440" w:left="1800" w:header="851" w:footer="992" w:gutter="0"/>
      <w:pgNumType w:fmt="numberInDash" w:start="23"/>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46371563"/>
      <w:docPartObj>
        <w:docPartGallery w:val="autotext"/>
      </w:docPartObj>
    </w:sdtPr>
    <w:sdtEndPr>
      <w:rPr>
        <w:rFonts w:asciiTheme="minorEastAsia" w:hAnsiTheme="minorEastAsia"/>
        <w:sz w:val="28"/>
        <w:szCs w:val="28"/>
      </w:rPr>
    </w:sdtEndPr>
    <w:sdtContent>
      <w:p>
        <w:pPr>
          <w:pStyle w:val="2"/>
          <w:jc w:val="center"/>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25 -</w:t>
        </w:r>
        <w:r>
          <w:rPr>
            <w:rFonts w:asciiTheme="minorEastAsia" w:hAnsiTheme="minorEastAsia"/>
            <w:sz w:val="28"/>
            <w:szCs w:val="28"/>
          </w:rP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0E79936"/>
    <w:multiLevelType w:val="singleLevel"/>
    <w:tmpl w:val="C0E79936"/>
    <w:lvl w:ilvl="0" w:tentative="0">
      <w:start w:val="1"/>
      <w:numFmt w:val="decimal"/>
      <w:suff w:val="nothing"/>
      <w:lvlText w:val="%1、"/>
      <w:lvlJc w:val="left"/>
    </w:lvl>
  </w:abstractNum>
  <w:abstractNum w:abstractNumId="1">
    <w:nsid w:val="CD989BE8"/>
    <w:multiLevelType w:val="singleLevel"/>
    <w:tmpl w:val="CD989BE8"/>
    <w:lvl w:ilvl="0" w:tentative="0">
      <w:start w:val="2"/>
      <w:numFmt w:val="chineseCounting"/>
      <w:suff w:val="nothing"/>
      <w:lvlText w:val="（%1）"/>
      <w:lvlJc w:val="left"/>
      <w:rPr>
        <w:rFonts w:hint="eastAsia"/>
      </w:rPr>
    </w:lvl>
  </w:abstractNum>
  <w:abstractNum w:abstractNumId="2">
    <w:nsid w:val="20A22C4C"/>
    <w:multiLevelType w:val="multilevel"/>
    <w:tmpl w:val="20A22C4C"/>
    <w:lvl w:ilvl="0" w:tentative="0">
      <w:start w:val="4"/>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46B374B5"/>
    <w:multiLevelType w:val="singleLevel"/>
    <w:tmpl w:val="46B374B5"/>
    <w:lvl w:ilvl="0" w:tentative="0">
      <w:start w:val="1"/>
      <w:numFmt w:val="decimal"/>
      <w:lvlText w:val="%1."/>
      <w:lvlJc w:val="left"/>
      <w:pPr>
        <w:tabs>
          <w:tab w:val="left" w:pos="312"/>
        </w:tabs>
      </w:pPr>
    </w:lvl>
  </w:abstractNum>
  <w:abstractNum w:abstractNumId="4">
    <w:nsid w:val="69703BB8"/>
    <w:multiLevelType w:val="multilevel"/>
    <w:tmpl w:val="69703BB8"/>
    <w:lvl w:ilvl="0" w:tentative="0">
      <w:start w:val="1"/>
      <w:numFmt w:val="japaneseCounting"/>
      <w:lvlText w:val="%1、"/>
      <w:lvlJc w:val="left"/>
      <w:pPr>
        <w:ind w:left="1368"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33862"/>
    <w:rsid w:val="00074B9E"/>
    <w:rsid w:val="00147C7A"/>
    <w:rsid w:val="001866DF"/>
    <w:rsid w:val="002D22D1"/>
    <w:rsid w:val="002D7E3E"/>
    <w:rsid w:val="00381DEE"/>
    <w:rsid w:val="00396ACA"/>
    <w:rsid w:val="0053324E"/>
    <w:rsid w:val="005A00B1"/>
    <w:rsid w:val="00633862"/>
    <w:rsid w:val="007115C8"/>
    <w:rsid w:val="00744A93"/>
    <w:rsid w:val="007B018A"/>
    <w:rsid w:val="00877A33"/>
    <w:rsid w:val="0097614B"/>
    <w:rsid w:val="009D5D49"/>
    <w:rsid w:val="00AA6470"/>
    <w:rsid w:val="00AD16CD"/>
    <w:rsid w:val="00E538D3"/>
    <w:rsid w:val="00ED724F"/>
    <w:rsid w:val="00F35FC3"/>
    <w:rsid w:val="00F60761"/>
    <w:rsid w:val="01C92DD0"/>
    <w:rsid w:val="02456133"/>
    <w:rsid w:val="03C84B2F"/>
    <w:rsid w:val="04631CC4"/>
    <w:rsid w:val="0C7C12E0"/>
    <w:rsid w:val="0E637C7F"/>
    <w:rsid w:val="12CB4C67"/>
    <w:rsid w:val="13273C59"/>
    <w:rsid w:val="14932EA3"/>
    <w:rsid w:val="15A82DC4"/>
    <w:rsid w:val="168C4074"/>
    <w:rsid w:val="18D748AA"/>
    <w:rsid w:val="1C660322"/>
    <w:rsid w:val="1CD40E1D"/>
    <w:rsid w:val="22CA6A68"/>
    <w:rsid w:val="280063E0"/>
    <w:rsid w:val="290A7ECB"/>
    <w:rsid w:val="29E25150"/>
    <w:rsid w:val="2AAF7BCD"/>
    <w:rsid w:val="2D0848F2"/>
    <w:rsid w:val="303B04F9"/>
    <w:rsid w:val="330B1875"/>
    <w:rsid w:val="3826320B"/>
    <w:rsid w:val="3A363C8F"/>
    <w:rsid w:val="3B95151D"/>
    <w:rsid w:val="41684580"/>
    <w:rsid w:val="45AA3EC1"/>
    <w:rsid w:val="46256DC7"/>
    <w:rsid w:val="4A6759E3"/>
    <w:rsid w:val="4A7B300C"/>
    <w:rsid w:val="4B115D35"/>
    <w:rsid w:val="4C6F0DAB"/>
    <w:rsid w:val="4F23378B"/>
    <w:rsid w:val="52750B60"/>
    <w:rsid w:val="589A2607"/>
    <w:rsid w:val="58B55F8B"/>
    <w:rsid w:val="58E60A01"/>
    <w:rsid w:val="5AF273DD"/>
    <w:rsid w:val="5C664603"/>
    <w:rsid w:val="5F49596F"/>
    <w:rsid w:val="60BB6907"/>
    <w:rsid w:val="62C83506"/>
    <w:rsid w:val="6AB564EB"/>
    <w:rsid w:val="7C8C21B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 w:type="paragraph" w:styleId="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202</Words>
  <Characters>1154</Characters>
  <Lines>9</Lines>
  <Paragraphs>2</Paragraphs>
  <TotalTime>17</TotalTime>
  <ScaleCrop>false</ScaleCrop>
  <LinksUpToDate>false</LinksUpToDate>
  <CharactersWithSpaces>1354</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2019-01-16T17:12:00Z</dcterms:created>
  <dc:creator>jc</dc:creator>
  <cp:lastModifiedBy>iziz</cp:lastModifiedBy>
  <cp:lastPrinted>2019-02-13T07:58:00Z</cp:lastPrinted>
  <dcterms:modified xsi:type="dcterms:W3CDTF">2020-04-20T12:23:17Z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