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0DAFC1" w14:textId="77777777" w:rsidR="008853A8" w:rsidRDefault="008853A8">
      <w:pPr>
        <w:rPr>
          <w:rFonts w:ascii="黑体" w:eastAsia="黑体" w:hAnsi="黑体"/>
          <w:sz w:val="32"/>
          <w:szCs w:val="32"/>
        </w:rPr>
      </w:pPr>
      <w:r>
        <w:rPr>
          <w:rFonts w:ascii="黑体" w:eastAsia="黑体" w:hAnsi="黑体" w:hint="eastAsia"/>
          <w:sz w:val="32"/>
          <w:szCs w:val="32"/>
        </w:rPr>
        <w:t>附件：</w:t>
      </w:r>
    </w:p>
    <w:p w14:paraId="611C3882" w14:textId="77777777" w:rsidR="008853A8" w:rsidRDefault="008853A8">
      <w:pPr>
        <w:jc w:val="center"/>
        <w:rPr>
          <w:rFonts w:ascii="方正小标宋_GBK" w:eastAsia="方正小标宋_GBK" w:hAnsi="宋体"/>
          <w:sz w:val="44"/>
          <w:szCs w:val="44"/>
        </w:rPr>
      </w:pPr>
    </w:p>
    <w:p w14:paraId="12B0B250" w14:textId="77777777" w:rsidR="008853A8" w:rsidRDefault="008853A8">
      <w:pPr>
        <w:jc w:val="center"/>
        <w:rPr>
          <w:rFonts w:ascii="方正小标宋_GBK" w:eastAsia="方正小标宋_GBK" w:hAnsi="宋体"/>
          <w:sz w:val="44"/>
          <w:szCs w:val="44"/>
        </w:rPr>
      </w:pPr>
    </w:p>
    <w:p w14:paraId="1FB56DCC" w14:textId="77777777" w:rsidR="008853A8" w:rsidRDefault="008853A8">
      <w:pPr>
        <w:jc w:val="center"/>
        <w:rPr>
          <w:rFonts w:ascii="方正小标宋_GBK" w:eastAsia="方正小标宋_GBK" w:hAnsi="宋体"/>
          <w:sz w:val="44"/>
          <w:szCs w:val="44"/>
        </w:rPr>
      </w:pPr>
    </w:p>
    <w:p w14:paraId="0E41F092" w14:textId="77777777" w:rsidR="008853A8" w:rsidRDefault="008853A8">
      <w:pPr>
        <w:jc w:val="center"/>
        <w:rPr>
          <w:rFonts w:ascii="方正小标宋_GBK" w:eastAsia="方正小标宋_GBK" w:hAnsi="宋体"/>
          <w:sz w:val="44"/>
          <w:szCs w:val="44"/>
        </w:rPr>
      </w:pPr>
    </w:p>
    <w:p w14:paraId="0ACE5469" w14:textId="35972067" w:rsidR="008853A8" w:rsidRDefault="00377EC6">
      <w:pPr>
        <w:jc w:val="center"/>
        <w:rPr>
          <w:rFonts w:ascii="方正小标宋_GBK" w:eastAsia="方正小标宋_GBK" w:hAnsi="宋体"/>
          <w:sz w:val="44"/>
          <w:szCs w:val="44"/>
        </w:rPr>
      </w:pPr>
      <w:r>
        <w:rPr>
          <w:rFonts w:ascii="方正小标宋_GBK" w:hAnsi="方正小标宋_GBK" w:cs="方正小标宋_GBK" w:eastAsia="方正小标宋_GBK"/>
          <w:sz w:val="44"/>
        </w:rPr>
        <w:t>新疆喀什地区泽普县医疗保障局2019年度部门决算公开说明</w:t>
      </w:r>
    </w:p>
    <w:p w14:paraId="2888F532" w14:textId="77777777" w:rsidR="008853A8" w:rsidRDefault="008853A8">
      <w:pPr>
        <w:jc w:val="center"/>
        <w:rPr>
          <w:rFonts w:ascii="仿宋_GB2312" w:eastAsia="仿宋_GB2312" w:hAnsi="仿宋_GB2312" w:cs="仿宋_GB2312"/>
          <w:bCs/>
          <w:kern w:val="0"/>
          <w:sz w:val="32"/>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t>目 录</w:t>
      </w:r>
    </w:p>
    <w:p w14:paraId="293349B8" w14:textId="77777777" w:rsidR="008853A8" w:rsidRDefault="008853A8">
      <w:pPr>
        <w:pStyle w:val="TOC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Pr>
            <w:rFonts w:ascii="仿宋_GB2312" w:eastAsia="仿宋_GB2312" w:hAnsi="仿宋_GB2312" w:cs="仿宋_GB2312" w:hint="eastAsia"/>
            <w:b/>
            <w:bCs/>
            <w:sz w:val="32"/>
            <w:szCs w:val="32"/>
          </w:rPr>
          <w:t>第一部分 部门单位概况</w:t>
        </w:r>
      </w:hyperlink>
    </w:p>
    <w:p w14:paraId="2F9FE76B"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0567" w:history="1">
        <w:r w:rsidR="008853A8">
          <w:rPr>
            <w:rFonts w:ascii="仿宋_GB2312" w:eastAsia="仿宋_GB2312" w:hAnsi="仿宋_GB2312" w:cs="仿宋_GB2312" w:hint="eastAsia"/>
            <w:bCs/>
            <w:kern w:val="0"/>
            <w:sz w:val="32"/>
            <w:szCs w:val="32"/>
          </w:rPr>
          <w:t>一、主要职能</w:t>
        </w:r>
      </w:hyperlink>
    </w:p>
    <w:p w14:paraId="247DC9F7"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51" w:history="1">
        <w:r w:rsidR="008853A8">
          <w:rPr>
            <w:rFonts w:ascii="仿宋_GB2312" w:eastAsia="仿宋_GB2312" w:hAnsi="仿宋_GB2312" w:cs="仿宋_GB2312" w:hint="eastAsia"/>
            <w:bCs/>
            <w:kern w:val="0"/>
            <w:sz w:val="32"/>
            <w:szCs w:val="32"/>
          </w:rPr>
          <w:t>二、机构设置及人员情况</w:t>
        </w:r>
      </w:hyperlink>
    </w:p>
    <w:p w14:paraId="08B9D742" w14:textId="77777777" w:rsidR="008853A8" w:rsidRDefault="0088099A">
      <w:pPr>
        <w:pStyle w:val="TOC1"/>
        <w:tabs>
          <w:tab w:val="right" w:pos="8306"/>
        </w:tabs>
        <w:rPr>
          <w:rFonts w:ascii="仿宋_GB2312" w:eastAsia="仿宋_GB2312" w:hAnsi="仿宋_GB2312" w:cs="仿宋_GB2312"/>
          <w:b/>
          <w:bCs/>
          <w:sz w:val="32"/>
          <w:szCs w:val="32"/>
        </w:rPr>
      </w:pPr>
      <w:hyperlink w:anchor="_Toc29374" w:history="1">
        <w:r w:rsidR="008853A8">
          <w:rPr>
            <w:rFonts w:ascii="仿宋_GB2312" w:eastAsia="仿宋_GB2312" w:hAnsi="仿宋_GB2312" w:cs="仿宋_GB2312" w:hint="eastAsia"/>
            <w:b/>
            <w:bCs/>
            <w:sz w:val="32"/>
            <w:szCs w:val="32"/>
          </w:rPr>
          <w:t>第二部分 部门决算情况说明</w:t>
        </w:r>
      </w:hyperlink>
    </w:p>
    <w:p w14:paraId="5C83C03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5314" w:history="1">
        <w:r w:rsidR="008853A8">
          <w:rPr>
            <w:rFonts w:ascii="仿宋_GB2312" w:eastAsia="仿宋_GB2312" w:hAnsi="仿宋_GB2312" w:cs="仿宋_GB2312" w:hint="eastAsia"/>
            <w:bCs/>
            <w:kern w:val="0"/>
            <w:sz w:val="32"/>
            <w:szCs w:val="32"/>
          </w:rPr>
          <w:t>一、收入支出决算总体情况说明</w:t>
        </w:r>
      </w:hyperlink>
    </w:p>
    <w:p w14:paraId="4572C604"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2142" w:history="1">
        <w:r w:rsidR="008853A8">
          <w:rPr>
            <w:rFonts w:ascii="仿宋_GB2312" w:eastAsia="仿宋_GB2312" w:hAnsi="仿宋_GB2312" w:cs="仿宋_GB2312" w:hint="eastAsia"/>
            <w:bCs/>
            <w:kern w:val="0"/>
            <w:sz w:val="32"/>
            <w:szCs w:val="32"/>
          </w:rPr>
          <w:t>二、收入决算情况说明</w:t>
        </w:r>
      </w:hyperlink>
    </w:p>
    <w:p w14:paraId="5F2369D5"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3201" w:history="1">
        <w:r w:rsidR="008853A8">
          <w:rPr>
            <w:rFonts w:ascii="仿宋_GB2312" w:eastAsia="仿宋_GB2312" w:hAnsi="仿宋_GB2312" w:cs="仿宋_GB2312" w:hint="eastAsia"/>
            <w:bCs/>
            <w:kern w:val="0"/>
            <w:sz w:val="32"/>
            <w:szCs w:val="32"/>
          </w:rPr>
          <w:t>三、支出决算情况说明</w:t>
        </w:r>
      </w:hyperlink>
    </w:p>
    <w:p w14:paraId="6C9FFD2C"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6564" w:history="1">
        <w:r w:rsidR="008853A8">
          <w:rPr>
            <w:rFonts w:ascii="仿宋_GB2312" w:eastAsia="仿宋_GB2312" w:hAnsi="仿宋_GB2312" w:cs="仿宋_GB2312" w:hint="eastAsia"/>
            <w:bCs/>
            <w:kern w:val="0"/>
            <w:sz w:val="32"/>
            <w:szCs w:val="32"/>
          </w:rPr>
          <w:t>四、财政拨款收入支出决算总体情况说明</w:t>
        </w:r>
      </w:hyperlink>
    </w:p>
    <w:p w14:paraId="50C0774C"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0360" w:history="1">
        <w:r w:rsidR="008853A8">
          <w:rPr>
            <w:rFonts w:ascii="仿宋_GB2312" w:eastAsia="仿宋_GB2312" w:hAnsi="仿宋_GB2312" w:cs="仿宋_GB2312" w:hint="eastAsia"/>
            <w:bCs/>
            <w:kern w:val="0"/>
            <w:sz w:val="32"/>
            <w:szCs w:val="32"/>
          </w:rPr>
          <w:t>五、一般公共预算财政拨款支出决算情况说明</w:t>
        </w:r>
      </w:hyperlink>
    </w:p>
    <w:p w14:paraId="02AD714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0870" w:history="1">
        <w:r w:rsidR="008853A8">
          <w:rPr>
            <w:rFonts w:ascii="仿宋_GB2312" w:eastAsia="仿宋_GB2312" w:hAnsi="仿宋_GB2312" w:cs="仿宋_GB2312" w:hint="eastAsia"/>
            <w:bCs/>
            <w:kern w:val="0"/>
            <w:sz w:val="32"/>
            <w:szCs w:val="32"/>
          </w:rPr>
          <w:t>六、一般公共预算财政拨款基本支出决算情况说明</w:t>
        </w:r>
      </w:hyperlink>
    </w:p>
    <w:p w14:paraId="52DEB1D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518" w:history="1">
        <w:r w:rsidR="008853A8">
          <w:rPr>
            <w:rFonts w:ascii="仿宋_GB2312" w:eastAsia="仿宋_GB2312" w:hAnsi="仿宋_GB2312" w:cs="仿宋_GB2312" w:hint="eastAsia"/>
            <w:bCs/>
            <w:kern w:val="0"/>
            <w:sz w:val="32"/>
            <w:szCs w:val="32"/>
          </w:rPr>
          <w:t>七、一般公共预算财政拨款“三公”经费支出决算情况说明</w:t>
        </w:r>
      </w:hyperlink>
    </w:p>
    <w:p w14:paraId="445A50AA"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5810" w:history="1">
        <w:r w:rsidR="008853A8">
          <w:rPr>
            <w:rFonts w:ascii="仿宋_GB2312" w:eastAsia="仿宋_GB2312" w:hAnsi="仿宋_GB2312" w:cs="仿宋_GB2312" w:hint="eastAsia"/>
            <w:bCs/>
            <w:kern w:val="0"/>
            <w:sz w:val="32"/>
            <w:szCs w:val="32"/>
          </w:rPr>
          <w:t>八、政府性基金预算收入支出决算情况说明</w:t>
        </w:r>
      </w:hyperlink>
    </w:p>
    <w:p w14:paraId="57D5716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235" w:history="1">
        <w:r w:rsidR="008853A8">
          <w:rPr>
            <w:rFonts w:ascii="仿宋_GB2312" w:eastAsia="仿宋_GB2312" w:hAnsi="仿宋_GB2312" w:cs="仿宋_GB2312" w:hint="eastAsia"/>
            <w:bCs/>
            <w:kern w:val="0"/>
            <w:sz w:val="32"/>
            <w:szCs w:val="32"/>
          </w:rPr>
          <w:t>九、其他重要事项的情况说明</w:t>
        </w:r>
      </w:hyperlink>
    </w:p>
    <w:p w14:paraId="326B9E76"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14519" w:history="1">
        <w:r w:rsidR="008853A8">
          <w:rPr>
            <w:rFonts w:ascii="仿宋_GB2312" w:eastAsia="仿宋_GB2312" w:hAnsi="仿宋_GB2312" w:cs="仿宋_GB2312" w:hint="eastAsia"/>
            <w:sz w:val="32"/>
            <w:szCs w:val="32"/>
          </w:rPr>
          <w:t>（一）机关运行经费支出情况</w:t>
        </w:r>
      </w:hyperlink>
    </w:p>
    <w:p w14:paraId="65AAD0E2"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227" w:history="1">
        <w:r w:rsidR="008853A8">
          <w:rPr>
            <w:rFonts w:ascii="仿宋_GB2312" w:eastAsia="仿宋_GB2312" w:hAnsi="仿宋_GB2312" w:cs="仿宋_GB2312" w:hint="eastAsia"/>
            <w:sz w:val="32"/>
            <w:szCs w:val="32"/>
          </w:rPr>
          <w:t>（二）政府采购情况</w:t>
        </w:r>
      </w:hyperlink>
    </w:p>
    <w:p w14:paraId="651C5AE5"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8391" w:history="1">
        <w:r w:rsidR="008853A8">
          <w:rPr>
            <w:rFonts w:ascii="仿宋_GB2312" w:eastAsia="仿宋_GB2312" w:hAnsi="仿宋_GB2312" w:cs="仿宋_GB2312" w:hint="eastAsia"/>
            <w:sz w:val="32"/>
            <w:szCs w:val="32"/>
          </w:rPr>
          <w:t>（三）国有资产占用情况说明</w:t>
        </w:r>
      </w:hyperlink>
    </w:p>
    <w:p w14:paraId="0BD7F98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1283" w:history="1">
        <w:r w:rsidR="008853A8">
          <w:rPr>
            <w:rFonts w:ascii="仿宋_GB2312" w:eastAsia="仿宋_GB2312" w:hAnsi="仿宋_GB2312" w:cs="仿宋_GB2312" w:hint="eastAsia"/>
            <w:bCs/>
            <w:kern w:val="0"/>
            <w:sz w:val="32"/>
            <w:szCs w:val="32"/>
          </w:rPr>
          <w:t>十、预算绩效的情况说明</w:t>
        </w:r>
      </w:hyperlink>
    </w:p>
    <w:p w14:paraId="778B9C6E" w14:textId="77777777" w:rsidR="008853A8" w:rsidRDefault="0088099A">
      <w:pPr>
        <w:pStyle w:val="TOC1"/>
        <w:tabs>
          <w:tab w:val="right" w:pos="8306"/>
        </w:tabs>
        <w:rPr>
          <w:rFonts w:ascii="仿宋_GB2312" w:eastAsia="仿宋_GB2312" w:hAnsi="仿宋_GB2312" w:cs="仿宋_GB2312"/>
          <w:b/>
          <w:bCs/>
          <w:sz w:val="32"/>
          <w:szCs w:val="32"/>
        </w:rPr>
      </w:pPr>
      <w:hyperlink w:anchor="_Toc3250" w:history="1">
        <w:r w:rsidR="008853A8">
          <w:rPr>
            <w:rFonts w:ascii="仿宋_GB2312" w:eastAsia="仿宋_GB2312" w:hAnsi="仿宋_GB2312" w:cs="仿宋_GB2312" w:hint="eastAsia"/>
            <w:b/>
            <w:bCs/>
            <w:sz w:val="32"/>
            <w:szCs w:val="32"/>
          </w:rPr>
          <w:t>第三部分 专业名词解释</w:t>
        </w:r>
      </w:hyperlink>
    </w:p>
    <w:p w14:paraId="41FD2E9B" w14:textId="77777777" w:rsidR="008853A8" w:rsidRDefault="0088099A">
      <w:pPr>
        <w:pStyle w:val="TOC1"/>
        <w:tabs>
          <w:tab w:val="right" w:pos="8306"/>
        </w:tabs>
        <w:rPr>
          <w:rFonts w:ascii="仿宋_GB2312" w:eastAsia="仿宋_GB2312" w:hAnsi="仿宋_GB2312" w:cs="仿宋_GB2312"/>
          <w:b/>
          <w:bCs/>
          <w:sz w:val="32"/>
          <w:szCs w:val="32"/>
        </w:rPr>
      </w:pPr>
      <w:hyperlink w:anchor="_Toc22784" w:history="1">
        <w:r w:rsidR="008853A8">
          <w:rPr>
            <w:rFonts w:ascii="仿宋_GB2312" w:eastAsia="仿宋_GB2312" w:hAnsi="仿宋_GB2312" w:cs="仿宋_GB2312" w:hint="eastAsia"/>
            <w:b/>
            <w:bCs/>
            <w:sz w:val="32"/>
            <w:szCs w:val="32"/>
          </w:rPr>
          <w:t>第四部分 部门决算报表（见附表）</w:t>
        </w:r>
      </w:hyperlink>
    </w:p>
    <w:p w14:paraId="28F1D9E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83" w:history="1">
        <w:r w:rsidR="008853A8">
          <w:rPr>
            <w:rFonts w:ascii="仿宋_GB2312" w:eastAsia="仿宋_GB2312" w:hAnsi="仿宋_GB2312" w:cs="仿宋_GB2312" w:hint="eastAsia"/>
            <w:bCs/>
            <w:kern w:val="0"/>
            <w:sz w:val="32"/>
            <w:szCs w:val="32"/>
          </w:rPr>
          <w:t>一、《收入支出决算总表》</w:t>
        </w:r>
      </w:hyperlink>
    </w:p>
    <w:p w14:paraId="61408A5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4532" w:history="1">
        <w:r w:rsidR="008853A8">
          <w:rPr>
            <w:rFonts w:ascii="仿宋_GB2312" w:eastAsia="仿宋_GB2312" w:hAnsi="仿宋_GB2312" w:cs="仿宋_GB2312" w:hint="eastAsia"/>
            <w:bCs/>
            <w:kern w:val="0"/>
            <w:sz w:val="32"/>
            <w:szCs w:val="32"/>
          </w:rPr>
          <w:t>二、《收入决算表》</w:t>
        </w:r>
      </w:hyperlink>
    </w:p>
    <w:p w14:paraId="04072FC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2434" w:history="1">
        <w:r w:rsidR="008853A8">
          <w:rPr>
            <w:rFonts w:ascii="仿宋_GB2312" w:eastAsia="仿宋_GB2312" w:hAnsi="仿宋_GB2312" w:cs="仿宋_GB2312" w:hint="eastAsia"/>
            <w:bCs/>
            <w:kern w:val="0"/>
            <w:sz w:val="32"/>
            <w:szCs w:val="32"/>
          </w:rPr>
          <w:t>三、《支出决算表》</w:t>
        </w:r>
      </w:hyperlink>
    </w:p>
    <w:p w14:paraId="22BFA8E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8786" w:history="1">
        <w:r w:rsidR="008853A8">
          <w:rPr>
            <w:rFonts w:ascii="仿宋_GB2312" w:eastAsia="仿宋_GB2312" w:hAnsi="仿宋_GB2312" w:cs="仿宋_GB2312" w:hint="eastAsia"/>
            <w:bCs/>
            <w:kern w:val="0"/>
            <w:sz w:val="32"/>
            <w:szCs w:val="32"/>
          </w:rPr>
          <w:t>四、《财政拨款收入支出决算总表》</w:t>
        </w:r>
      </w:hyperlink>
    </w:p>
    <w:p w14:paraId="2DC04D36"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4869" w:history="1">
        <w:r w:rsidR="008853A8">
          <w:rPr>
            <w:rFonts w:ascii="仿宋_GB2312" w:eastAsia="仿宋_GB2312" w:hAnsi="仿宋_GB2312" w:cs="仿宋_GB2312" w:hint="eastAsia"/>
            <w:bCs/>
            <w:kern w:val="0"/>
            <w:sz w:val="32"/>
            <w:szCs w:val="32"/>
          </w:rPr>
          <w:t>五、《一般公共预算财政拨款支出决算表》</w:t>
        </w:r>
      </w:hyperlink>
    </w:p>
    <w:p w14:paraId="455EE489"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8884" w:history="1">
        <w:r w:rsidR="008853A8">
          <w:rPr>
            <w:rFonts w:ascii="仿宋_GB2312" w:eastAsia="仿宋_GB2312" w:hAnsi="仿宋_GB2312" w:cs="仿宋_GB2312" w:hint="eastAsia"/>
            <w:bCs/>
            <w:kern w:val="0"/>
            <w:sz w:val="32"/>
            <w:szCs w:val="32"/>
          </w:rPr>
          <w:t>六、《一般公共预算财政拨款基本支出决算表》</w:t>
        </w:r>
      </w:hyperlink>
    </w:p>
    <w:p w14:paraId="64724664"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9106" w:history="1">
        <w:r w:rsidR="008853A8">
          <w:rPr>
            <w:rFonts w:ascii="仿宋_GB2312" w:eastAsia="仿宋_GB2312" w:hAnsi="仿宋_GB2312" w:cs="仿宋_GB2312" w:hint="eastAsia"/>
            <w:bCs/>
            <w:kern w:val="0"/>
            <w:sz w:val="32"/>
            <w:szCs w:val="32"/>
          </w:rPr>
          <w:t>七、《一般公共预算财政拨款“三公”经费支出决算表》</w:t>
        </w:r>
      </w:hyperlink>
    </w:p>
    <w:p w14:paraId="0F03566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7643" w:history="1">
        <w:r w:rsidR="008853A8">
          <w:rPr>
            <w:rFonts w:ascii="仿宋_GB2312" w:eastAsia="仿宋_GB2312" w:hAnsi="仿宋_GB2312" w:cs="仿宋_GB2312" w:hint="eastAsia"/>
            <w:bCs/>
            <w:kern w:val="0"/>
            <w:sz w:val="32"/>
            <w:szCs w:val="32"/>
          </w:rPr>
          <w:t>八、《政府性基金预算财政拨款收入支出决算表》</w:t>
        </w:r>
      </w:hyperlink>
    </w:p>
    <w:p w14:paraId="0E1577DF" w14:textId="77777777" w:rsidR="008853A8" w:rsidRDefault="008853A8">
      <w:r>
        <w:rPr>
          <w:rFonts w:ascii="仿宋_GB2312" w:eastAsia="仿宋_GB2312" w:hAnsi="仿宋_GB2312" w:cs="仿宋_GB2312" w:hint="eastAsia"/>
          <w:sz w:val="32"/>
          <w:szCs w:val="32"/>
        </w:rPr>
        <w:fldChar w:fldCharType="end"/>
      </w:r>
    </w:p>
    <w:p w14:paraId="68A45511" w14:textId="77777777" w:rsidR="008853A8" w:rsidRDefault="008853A8">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bookmarkStart w:id="0" w:name="_Toc24028"/>
      <w:bookmarkStart w:id="1" w:name="_Toc32314"/>
      <w:r>
        <w:rPr>
          <w:rFonts w:ascii="黑体" w:eastAsia="黑体" w:hAnsi="黑体" w:hint="eastAsia"/>
          <w:sz w:val="32"/>
          <w:szCs w:val="32"/>
        </w:rPr>
        <w:t>第一部分 部门单位概况</w:t>
      </w:r>
      <w:bookmarkEnd w:id="0"/>
      <w:bookmarkEnd w:id="1"/>
    </w:p>
    <w:p w14:paraId="036049B7" w14:textId="77777777" w:rsidR="008853A8" w:rsidRDefault="008853A8">
      <w:pPr>
        <w:ind w:firstLineChars="200" w:firstLine="640"/>
        <w:outlineLvl w:val="1"/>
        <w:rPr>
          <w:rFonts w:ascii="黑体" w:eastAsia="黑体" w:hAnsi="黑体" w:cs="宋体"/>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pPr>
        <w:ind w:firstLine="480"/>
        <w:jc w:val="both"/>
      </w:pPr>
      <w:r>
        <w:rPr>
          <w:rFonts w:ascii="仿宋_GB2312" w:hAnsi="仿宋_GB2312" w:cs="仿宋_GB2312" w:eastAsia="仿宋_GB2312"/>
          <w:b w:val="false"/>
          <w:sz w:val="32"/>
        </w:rPr>
        <w:t>1、贯彻落实国家、自治区和地区医疗保险、生育保险人身意外伤害保险等医疗保障制度;按地区医疗保障制度的政策、规划和标准，贯彻落实地区医疗保险、生育保险大病保险、大额医疗补助、公务员医疗补助、企事业单位补充医疗保险、长期护理保险、离休人员和优抚对象医疗保障等政策、管理办法并组织实施。</w:t>
      </w:r>
    </w:p>
    <w:p>
      <w:pPr>
        <w:ind w:firstLine="480"/>
        <w:jc w:val="both"/>
      </w:pPr>
      <w:r>
        <w:rPr>
          <w:rFonts w:ascii="仿宋_GB2312" w:hAnsi="仿宋_GB2312" w:cs="仿宋_GB2312" w:eastAsia="仿宋_GB2312"/>
          <w:b w:val="false"/>
          <w:sz w:val="32"/>
        </w:rPr>
        <w:t>2、贾彻落实医疗保障基金监督管理办法，建立健全医疗保障基金安全防控机制，承担推进医疗保障基金支付方式改革工作，编制泽普县医疗保障基金预决算草案。</w:t>
      </w:r>
    </w:p>
    <w:p>
      <w:pPr>
        <w:ind w:firstLine="480"/>
        <w:jc w:val="both"/>
      </w:pPr>
      <w:r>
        <w:rPr>
          <w:rFonts w:ascii="仿宋_GB2312" w:hAnsi="仿宋_GB2312" w:cs="仿宋_GB2312" w:eastAsia="仿宋_GB2312"/>
          <w:b w:val="false"/>
          <w:sz w:val="32"/>
        </w:rPr>
        <w:t>3、贯彻落实地区医疗保障筹资和待遇政策，贯彻落实动调整和区域调剂平衡机制，严格执行城乡医疗保障待遇标准及与筹资水平相适应的待遇调整机制;贯彻落实长期护理保险制度改革方案。</w:t>
      </w:r>
    </w:p>
    <w:p>
      <w:pPr>
        <w:ind w:firstLine="480"/>
        <w:jc w:val="both"/>
      </w:pPr>
      <w:r>
        <w:rPr>
          <w:rFonts w:ascii="仿宋_GB2312" w:hAnsi="仿宋_GB2312" w:cs="仿宋_GB2312" w:eastAsia="仿宋_GB2312"/>
          <w:b w:val="false"/>
          <w:sz w:val="32"/>
        </w:rPr>
        <w:t>4、贯彻落实国家和自治区药品、医用耗材价格和医疗服务项目、医疗服务设施收费等政策并监督实施，执行自治区制定的药品、医用耗材的招标采购政策并监督实施，落实医保支付医药服务价格合理确定和动态调整机制，建立市场主导的社会医药服务价格形成机制，建立医药服务价格信息监测和信息发布制度。</w:t>
      </w:r>
    </w:p>
    <w:p>
      <w:pPr>
        <w:ind w:firstLine="480"/>
        <w:jc w:val="both"/>
      </w:pPr>
      <w:r>
        <w:rPr>
          <w:rFonts w:ascii="仿宋_GB2312" w:hAnsi="仿宋_GB2312" w:cs="仿宋_GB2312" w:eastAsia="仿宋_GB2312"/>
          <w:b w:val="false"/>
          <w:sz w:val="32"/>
        </w:rPr>
        <w:t>5、贯彻落实国家和自治区药品、医用耗材、医疗服务项目、医疗服务设施等医保目录、支付标准和动态调整机制。</w:t>
      </w:r>
    </w:p>
    <w:p>
      <w:pPr>
        <w:ind w:firstLine="480"/>
        <w:jc w:val="both"/>
      </w:pPr>
      <w:r>
        <w:rPr>
          <w:rFonts w:ascii="仿宋_GB2312" w:hAnsi="仿宋_GB2312" w:cs="仿宋_GB2312" w:eastAsia="仿宋_GB2312"/>
          <w:b w:val="false"/>
          <w:sz w:val="32"/>
        </w:rPr>
        <w:t>6、制定定点医药机构协议和支付管理办法并组织实施，建立健全医疗保障信用评价体系和信息披露制度，监督管理纳入医保范围内的医疗服务行为和医疗费用，依法查处医疗保障、生育保险领域违法违规行为。</w:t>
      </w:r>
    </w:p>
    <w:p>
      <w:pPr>
        <w:ind w:firstLine="480"/>
        <w:jc w:val="both"/>
      </w:pPr>
      <w:r>
        <w:rPr>
          <w:rFonts w:ascii="仿宋_GB2312" w:hAnsi="仿宋_GB2312" w:cs="仿宋_GB2312" w:eastAsia="仿宋_GB2312"/>
          <w:b w:val="false"/>
          <w:sz w:val="32"/>
        </w:rPr>
        <w:t>7、负责泽普县医疗保障经办管理、公共服务体系和信息化建设;医疗保障统计综合管理和分析;贯彻落实国家、自治区地区异地就医管理和费用结算政策;贯彻执行医疗保障关系转移接续制度;监督指导医疗保障经办机构开展业务工作。8、负责文秘、档案管理等机关日常运转及后勤保障工作;负责机关和所属单位的机构编制、千部人事、党群工作、精神文明、纪检监察、安全生产、扶贫、队伍建设和窗口作风建设等工作;承担综合协调、信访、考核、政务公开等工作;承担政策宣传、信息公开等工作;承担机关和所属单位财务资产管理和政府采购工作;承担机关和所属单位财务资产和内部审计工作。</w:t>
      </w:r>
    </w:p>
    <w:p>
      <w:pPr>
        <w:ind w:firstLine="480"/>
        <w:jc w:val="both"/>
      </w:pPr>
      <w:r>
        <w:rPr>
          <w:rFonts w:ascii="仿宋_GB2312" w:hAnsi="仿宋_GB2312" w:cs="仿宋_GB2312" w:eastAsia="仿宋_GB2312"/>
          <w:b w:val="false"/>
          <w:sz w:val="32"/>
        </w:rPr>
        <w:t>"</w:t>
      </w:r>
    </w:p>
    <w:p w14:paraId="22BD2715" w14:textId="3A98898C" w:rsidR="008853A8" w:rsidRDefault="008853A8">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08E18313" w14:textId="72E3148E" w:rsidR="001F777A" w:rsidRPr="001F777A" w:rsidRDefault="001F777A" w:rsidP="001F777A">
      <w:pPr>
        <w:ind w:firstLineChars="200" w:firstLine="640"/>
      </w:pPr>
      <w:r>
        <w:rPr>
          <w:rFonts w:ascii="仿宋_GB2312" w:hAnsi="仿宋_GB2312" w:cs="仿宋_GB2312" w:eastAsia="仿宋_GB2312"/>
          <w:sz w:val="32"/>
        </w:rPr>
        <w:t>新疆喀什地区泽普县医疗保障局2019年度，实有人数编制人数11人，其中：行政人员编制4名，参公编制3人，事业编制4人。人，其中：在职人员11人，离休人员0人，退休人员0人。</w:t>
      </w:r>
    </w:p>
    <w:p w14:paraId="65B8FE61" w14:textId="77777777" w:rsidR="00862395" w:rsidRDefault="00862395" w:rsidP="00862395">
      <w:pPr>
        <w:ind w:firstLineChars="200" w:firstLine="640"/>
        <w:rPr>
          <w:rFonts w:ascii="仿宋_GB2312" w:eastAsia="仿宋_GB2312"/>
          <w:sz w:val="32"/>
          <w:szCs w:val="32"/>
        </w:rPr>
      </w:pPr>
      <w:r>
        <w:rPr>
          <w:rFonts w:ascii="仿宋_GB2312" w:hAnsi="仿宋_GB2312" w:cs="仿宋_GB2312" w:eastAsia="仿宋_GB2312"/>
          <w:sz w:val="32"/>
        </w:rPr>
        <w:t>从部门决算单位构成看，新疆喀什地区泽普县医疗保障局部门决算包括：新疆喀什地区泽普县医疗保障局决算。</w:t>
      </w:r>
    </w:p>
    <w:p w14:paraId="2C581B27" w14:textId="77777777" w:rsidR="008853A8" w:rsidRDefault="008853A8">
      <w:pPr>
        <w:ind w:firstLineChars="200" w:firstLine="640"/>
        <w:jc w:val="center"/>
        <w:outlineLvl w:val="0"/>
        <w:rPr>
          <w:rFonts w:ascii="黑体" w:eastAsia="黑体" w:hAnsi="黑体"/>
          <w:sz w:val="32"/>
          <w:szCs w:val="32"/>
        </w:rPr>
      </w:pPr>
      <w:bookmarkStart w:id="6" w:name="_Toc3092"/>
      <w:bookmarkStart w:id="7" w:name="_Toc29374"/>
      <w:r>
        <w:rPr>
          <w:rFonts w:ascii="黑体" w:eastAsia="黑体" w:hAnsi="黑体" w:hint="eastAsia"/>
          <w:sz w:val="32"/>
          <w:szCs w:val="32"/>
        </w:rPr>
        <w:t>第二部分 部门决算情况说明</w:t>
      </w:r>
      <w:bookmarkEnd w:id="6"/>
      <w:bookmarkEnd w:id="7"/>
    </w:p>
    <w:p w14:paraId="4B167492" w14:textId="77777777" w:rsidR="008853A8" w:rsidRDefault="008853A8">
      <w:pPr>
        <w:ind w:firstLineChars="200" w:firstLine="640"/>
        <w:outlineLvl w:val="1"/>
        <w:rPr>
          <w:rFonts w:ascii="黑体" w:eastAsia="黑体" w:hAnsi="黑体" w:cs="宋体"/>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3782D0DE" w14:textId="3E55FEDD" w:rsidR="008853A8" w:rsidRDefault="007E3BFD">
      <w:pPr>
        <w:ind w:firstLineChars="200" w:firstLine="640"/>
        <w:rPr>
          <w:rFonts w:ascii="仿宋_GB2312" w:eastAsia="仿宋_GB2312"/>
          <w:sz w:val="32"/>
          <w:szCs w:val="32"/>
        </w:rPr>
      </w:pPr>
      <w:r>
        <w:rPr>
          <w:rFonts w:ascii="仿宋_GB2312" w:hAnsi="仿宋_GB2312" w:cs="仿宋_GB2312" w:eastAsia="仿宋_GB2312"/>
          <w:sz w:val="32"/>
        </w:rPr>
        <w:t>2019年度本年收入2,925.23万元，与上年相比，增加2,925.23万元，增长100%，主要原因是：2019年新增单位。本年支出2,925.23万元，与上年相比，增加2,925.23万元，增长100%，主要原因是：2019年新增单位。</w:t>
      </w:r>
    </w:p>
    <w:p w14:paraId="3093A798" w14:textId="77777777" w:rsidR="008853A8" w:rsidRDefault="008853A8">
      <w:pPr>
        <w:ind w:firstLineChars="200" w:firstLine="640"/>
        <w:outlineLvl w:val="1"/>
        <w:rPr>
          <w:rFonts w:ascii="黑体" w:eastAsia="黑体" w:hAnsi="黑体" w:cs="宋体"/>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2B914EFB" w14:textId="75DF8F00" w:rsidR="008853A8" w:rsidRDefault="00125A6F">
      <w:pPr>
        <w:ind w:firstLineChars="200" w:firstLine="640"/>
        <w:rPr>
          <w:rFonts w:ascii="仿宋_GB2312" w:eastAsia="仿宋_GB2312"/>
          <w:sz w:val="32"/>
          <w:szCs w:val="32"/>
        </w:rPr>
      </w:pPr>
      <w:r>
        <w:rPr>
          <w:rFonts w:ascii="仿宋_GB2312" w:hAnsi="仿宋_GB2312" w:cs="仿宋_GB2312" w:eastAsia="仿宋_GB2312"/>
          <w:sz w:val="32"/>
        </w:rPr>
        <w:t>2019年度本年收入2,925.23万元，其中：财政拨款收入2,925.23万元，占100%；上级补助收入0万元，占0%；事业收入0万元，占0%；经营收入0万元，占0%；附属单位上缴收入0万元，占0%；其他收入0万元，占0%。</w:t>
      </w:r>
    </w:p>
    <w:p w14:paraId="008FC815" w14:textId="77777777" w:rsidR="008853A8" w:rsidRDefault="008853A8">
      <w:pPr>
        <w:ind w:firstLineChars="200" w:firstLine="640"/>
        <w:outlineLvl w:val="1"/>
        <w:rPr>
          <w:rFonts w:ascii="黑体" w:eastAsia="黑体" w:hAnsi="黑体" w:cs="宋体"/>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26FB7964" w14:textId="23D4D7B7" w:rsidR="008853A8" w:rsidRDefault="00233021">
      <w:pPr>
        <w:ind w:firstLineChars="200" w:firstLine="640"/>
        <w:rPr>
          <w:rFonts w:ascii="仿宋_GB2312" w:eastAsia="仿宋_GB2312"/>
          <w:sz w:val="32"/>
          <w:szCs w:val="32"/>
        </w:rPr>
      </w:pPr>
      <w:r>
        <w:rPr>
          <w:rFonts w:ascii="仿宋_GB2312" w:hAnsi="仿宋_GB2312" w:cs="仿宋_GB2312" w:eastAsia="仿宋_GB2312"/>
          <w:sz w:val="32"/>
        </w:rPr>
        <w:t>2019年度本年支出2,925.23万元，其中：基本支出106.30万元，占3.63%；项目支出2,818.93万元，占96.37%；上缴上级支出0万元，占0%；经营支出0万元，占0%；对附属单位补助支出0万元，占0%。</w:t>
      </w:r>
    </w:p>
    <w:p w14:paraId="186CA7CE" w14:textId="77777777" w:rsidR="008853A8" w:rsidRDefault="008853A8">
      <w:pPr>
        <w:ind w:firstLineChars="200" w:firstLine="640"/>
        <w:outlineLvl w:val="1"/>
        <w:rPr>
          <w:rFonts w:ascii="黑体" w:eastAsia="黑体" w:hAnsi="黑体" w:cs="宋体"/>
          <w:bCs/>
          <w:kern w:val="0"/>
          <w:sz w:val="32"/>
          <w:szCs w:val="32"/>
        </w:rPr>
      </w:pPr>
      <w:bookmarkStart w:id="14" w:name="_Toc4393"/>
      <w:bookmarkStart w:id="15" w:name="_Toc26564"/>
      <w:r>
        <w:rPr>
          <w:rFonts w:ascii="黑体" w:eastAsia="黑体" w:hAnsi="黑体" w:cs="宋体" w:hint="eastAsia"/>
          <w:bCs/>
          <w:kern w:val="0"/>
          <w:sz w:val="32"/>
          <w:szCs w:val="32"/>
        </w:rPr>
        <w:t>四、财政拨款收入支出决算总体情况说明</w:t>
      </w:r>
      <w:bookmarkEnd w:id="14"/>
      <w:bookmarkEnd w:id="15"/>
    </w:p>
    <w:p w14:paraId="1B6E4AD7" w14:textId="100B88EF" w:rsidR="008853A8" w:rsidRPr="001848EE" w:rsidRDefault="001C2D35">
      <w:pPr>
        <w:ind w:firstLineChars="200" w:firstLine="640"/>
        <w:rPr>
          <w:rFonts w:ascii="仿宋_GB2312" w:eastAsia="仿宋_GB2312"/>
          <w:sz w:val="32"/>
          <w:szCs w:val="32"/>
        </w:rPr>
      </w:pPr>
      <w:r>
        <w:rPr>
          <w:rFonts w:ascii="仿宋_GB2312" w:hAnsi="仿宋_GB2312" w:cs="仿宋_GB2312" w:eastAsia="仿宋_GB2312"/>
          <w:sz w:val="32"/>
        </w:rPr>
        <w:t>2019年度财政拨款收入2,925.23万元，与上年相比，增加2,925.23万元，增长100%，主要原因是：2019年新增单位。财政拨款支出2,925.23万元，与上年相比，增加2,925.23万元，增长100%，主要原因是：2019年新增单位。</w:t>
      </w:r>
    </w:p>
    <w:p w14:paraId="7139D063" w14:textId="11D128B6"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与年初预算数相比情况：财政拨款收入年初预算数0万元，决算数2,925.23万元，预决算差异率100%，主要原因是：2019年新增单位。财政拨款支出年初预算数0万元，决算数2,925.23万元，预决算差异率100%，主要原因是：2019年新增单位。</w:t>
      </w:r>
    </w:p>
    <w:p w14:paraId="51FC69F3" w14:textId="77777777" w:rsidR="008853A8" w:rsidRDefault="008853A8">
      <w:pPr>
        <w:ind w:firstLineChars="200" w:firstLine="640"/>
        <w:outlineLvl w:val="1"/>
        <w:rPr>
          <w:rFonts w:ascii="黑体" w:eastAsia="黑体" w:hAnsi="黑体" w:cs="宋体"/>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14:paraId="5B797ACC" w14:textId="2DDC565C" w:rsidR="008853A8" w:rsidRDefault="005529D0">
      <w:pPr>
        <w:ind w:firstLineChars="200" w:firstLine="640"/>
        <w:rPr>
          <w:rFonts w:ascii="仿宋_GB2312" w:eastAsia="仿宋_GB2312"/>
          <w:sz w:val="32"/>
          <w:szCs w:val="32"/>
        </w:rPr>
      </w:pPr>
      <w:r>
        <w:rPr>
          <w:rFonts w:ascii="仿宋_GB2312" w:hAnsi="仿宋_GB2312" w:cs="仿宋_GB2312" w:eastAsia="仿宋_GB2312"/>
          <w:sz w:val="32"/>
        </w:rPr>
        <w:t>2019年度一般公共预算财政拨款支出2,754.23万元。按功能分类科目项级科目公开，其中：</w:t>
      </w:r>
    </w:p>
    <w:p>
      <w:pPr>
        <w:ind w:firstLine="480"/>
        <w:jc w:val="both"/>
      </w:pPr>
      <w:r>
        <w:rPr>
          <w:rFonts w:ascii="仿宋_GB2312" w:hAnsi="仿宋_GB2312" w:cs="仿宋_GB2312" w:eastAsia="仿宋_GB2312"/>
          <w:b w:val="false"/>
          <w:sz w:val="32"/>
        </w:rPr>
        <w:t xml:space="preserve">   2080109社会保险经办机构支出1.17万元；</w:t>
      </w:r>
    </w:p>
    <w:p>
      <w:pPr>
        <w:ind w:firstLine="480"/>
        <w:jc w:val="both"/>
      </w:pPr>
      <w:r>
        <w:rPr>
          <w:rFonts w:ascii="仿宋_GB2312" w:hAnsi="仿宋_GB2312" w:cs="仿宋_GB2312" w:eastAsia="仿宋_GB2312"/>
          <w:b w:val="false"/>
          <w:sz w:val="32"/>
        </w:rPr>
        <w:t xml:space="preserve">   2080505机关事业单位基本养老保险缴费支出9.82万元；</w:t>
      </w:r>
    </w:p>
    <w:p>
      <w:pPr>
        <w:ind w:firstLine="480"/>
        <w:jc w:val="both"/>
      </w:pPr>
      <w:r>
        <w:rPr>
          <w:rFonts w:ascii="仿宋_GB2312" w:hAnsi="仿宋_GB2312" w:cs="仿宋_GB2312" w:eastAsia="仿宋_GB2312"/>
          <w:b w:val="false"/>
          <w:sz w:val="32"/>
        </w:rPr>
        <w:t xml:space="preserve">   2101301城乡医疗救助支出1,002.05万元；</w:t>
      </w:r>
    </w:p>
    <w:p>
      <w:pPr>
        <w:ind w:firstLine="480"/>
        <w:jc w:val="both"/>
      </w:pPr>
      <w:r>
        <w:rPr>
          <w:rFonts w:ascii="仿宋_GB2312" w:hAnsi="仿宋_GB2312" w:cs="仿宋_GB2312" w:eastAsia="仿宋_GB2312"/>
          <w:b w:val="false"/>
          <w:sz w:val="32"/>
        </w:rPr>
        <w:t xml:space="preserve">   2101399其他医疗救助支出1,568.99万元；</w:t>
      </w:r>
    </w:p>
    <w:p>
      <w:pPr>
        <w:ind w:firstLine="480"/>
        <w:jc w:val="both"/>
      </w:pPr>
      <w:r>
        <w:rPr>
          <w:rFonts w:ascii="仿宋_GB2312" w:hAnsi="仿宋_GB2312" w:cs="仿宋_GB2312" w:eastAsia="仿宋_GB2312"/>
          <w:b w:val="false"/>
          <w:sz w:val="32"/>
        </w:rPr>
        <w:t xml:space="preserve">   2101501行政运行支出81.90万元；</w:t>
      </w:r>
    </w:p>
    <w:p>
      <w:pPr>
        <w:ind w:firstLine="480"/>
        <w:jc w:val="both"/>
      </w:pPr>
      <w:r>
        <w:rPr>
          <w:rFonts w:ascii="仿宋_GB2312" w:hAnsi="仿宋_GB2312" w:cs="仿宋_GB2312" w:eastAsia="仿宋_GB2312"/>
          <w:b w:val="false"/>
          <w:sz w:val="32"/>
        </w:rPr>
        <w:t xml:space="preserve">   2101504信息化建设支出6万元；</w:t>
      </w:r>
    </w:p>
    <w:p>
      <w:pPr>
        <w:ind w:firstLine="480"/>
        <w:jc w:val="both"/>
      </w:pPr>
      <w:r>
        <w:rPr>
          <w:rFonts w:ascii="仿宋_GB2312" w:hAnsi="仿宋_GB2312" w:cs="仿宋_GB2312" w:eastAsia="仿宋_GB2312"/>
          <w:b w:val="false"/>
          <w:sz w:val="32"/>
        </w:rPr>
        <w:t xml:space="preserve">   2101599其他医疗保障管理事务支出76.88万元；</w:t>
      </w:r>
    </w:p>
    <w:p>
      <w:pPr>
        <w:ind w:firstLine="480"/>
        <w:jc w:val="both"/>
      </w:pPr>
      <w:r>
        <w:rPr>
          <w:rFonts w:ascii="仿宋_GB2312" w:hAnsi="仿宋_GB2312" w:cs="仿宋_GB2312" w:eastAsia="仿宋_GB2312"/>
          <w:b w:val="false"/>
          <w:sz w:val="32"/>
        </w:rPr>
        <w:t xml:space="preserve">   2210201住房公积金支出7.41万元。</w:t>
      </w:r>
    </w:p>
    <w:p w14:paraId="049DFBB4" w14:textId="77777777" w:rsidR="008853A8" w:rsidRDefault="008853A8">
      <w:pPr>
        <w:ind w:firstLineChars="200" w:firstLine="640"/>
        <w:outlineLvl w:val="1"/>
        <w:rPr>
          <w:rFonts w:ascii="黑体" w:eastAsia="黑体" w:hAnsi="黑体" w:cs="宋体"/>
          <w:bCs/>
          <w:kern w:val="0"/>
          <w:sz w:val="32"/>
          <w:szCs w:val="32"/>
        </w:rPr>
      </w:pPr>
      <w:bookmarkStart w:id="18" w:name="_Toc11146"/>
      <w:bookmarkStart w:id="19" w:name="_Toc30870"/>
      <w:r>
        <w:rPr>
          <w:rFonts w:ascii="黑体" w:eastAsia="黑体" w:hAnsi="黑体" w:cs="宋体" w:hint="eastAsia"/>
          <w:bCs/>
          <w:kern w:val="0"/>
          <w:sz w:val="32"/>
          <w:szCs w:val="32"/>
        </w:rPr>
        <w:t>六、一般公共预算财政拨款基本支出决算情况说明</w:t>
      </w:r>
      <w:bookmarkEnd w:id="18"/>
      <w:bookmarkEnd w:id="19"/>
    </w:p>
    <w:p w14:paraId="3BCDD0A1" w14:textId="25AC9A26" w:rsidR="008853A8" w:rsidRDefault="005B1DE6">
      <w:pPr>
        <w:ind w:firstLineChars="200" w:firstLine="640"/>
        <w:rPr>
          <w:rFonts w:ascii="仿宋_GB2312" w:eastAsia="仿宋_GB2312"/>
          <w:sz w:val="32"/>
          <w:szCs w:val="32"/>
        </w:rPr>
      </w:pPr>
      <w:r>
        <w:rPr>
          <w:rFonts w:ascii="仿宋_GB2312" w:hAnsi="仿宋_GB2312" w:cs="仿宋_GB2312" w:eastAsia="仿宋_GB2312"/>
          <w:sz w:val="32"/>
        </w:rPr>
        <w:t>2019年度一般公共预算财政拨款基本支出106.30万元，其中：</w:t>
      </w:r>
    </w:p>
    <w:p w14:paraId="61C978B8" w14:textId="68C70B32"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人员经费97.67万元，包括：基本工资、津贴补贴、机关事业单位基本养老保险缴费、职工基本医疗保险缴费、公务员医疗补助缴费、其他社会保障缴费、住房公积金。</w:t>
      </w:r>
    </w:p>
    <w:p w14:paraId="09290895" w14:textId="4CFD8C08"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公用经费8.63万元，包括：办公费、手续费、邮电费、取暖费、差旅费、其他交通费用。</w:t>
      </w:r>
    </w:p>
    <w:p w14:paraId="1F5CEF98" w14:textId="77777777" w:rsidR="008853A8" w:rsidRDefault="008853A8">
      <w:pPr>
        <w:ind w:firstLineChars="200" w:firstLine="640"/>
        <w:outlineLvl w:val="1"/>
        <w:rPr>
          <w:rFonts w:ascii="黑体" w:eastAsia="黑体" w:hAnsi="黑体" w:cs="宋体"/>
          <w:bCs/>
          <w:kern w:val="0"/>
          <w:sz w:val="32"/>
          <w:szCs w:val="32"/>
        </w:rPr>
      </w:pPr>
      <w:bookmarkStart w:id="20" w:name="_Toc7190"/>
      <w:bookmarkStart w:id="21" w:name="_Toc21518"/>
      <w:r>
        <w:rPr>
          <w:rFonts w:ascii="黑体" w:eastAsia="黑体" w:hAnsi="黑体" w:cs="宋体" w:hint="eastAsia"/>
          <w:bCs/>
          <w:kern w:val="0"/>
          <w:sz w:val="32"/>
          <w:szCs w:val="32"/>
        </w:rPr>
        <w:t>七、一般公共预算财政拨款“三公”经费支出决算情况说明</w:t>
      </w:r>
      <w:bookmarkEnd w:id="20"/>
      <w:bookmarkEnd w:id="21"/>
    </w:p>
    <w:p w14:paraId="4B605590" w14:textId="2ECB7DD7" w:rsidR="008853A8" w:rsidRDefault="00340AE7">
      <w:pPr>
        <w:ind w:firstLineChars="200" w:firstLine="640"/>
        <w:rPr>
          <w:rFonts w:ascii="仿宋_GB2312" w:eastAsia="仿宋_GB2312"/>
          <w:sz w:val="32"/>
          <w:szCs w:val="32"/>
        </w:rPr>
      </w:pPr>
      <w:r>
        <w:rPr>
          <w:rFonts w:ascii="仿宋_GB2312" w:hAnsi="仿宋_GB2312" w:cs="仿宋_GB2312" w:eastAsia="仿宋_GB2312"/>
          <w:sz w:val="32"/>
        </w:rPr>
        <w:t>2019年度一般公共预算“三公”经费支出决算0万元，比上年增加0万元，增长0%，主要原因是按照八项规定，厉行节约压减支出。其中，因公出国（境）费支出0万元，占0%，比上年增加0万元，增长0%，主要原因是无因公出国境费；公务用车购置及运行维护费支出0万元，占0%，比上年增加0万元，增长0%，主要原因是无公务用车购置费；公务接待费支出0万元，占0%，比上年增加0万元，增长0%，主要原因是无公务接待费。具体情况如下：</w:t>
      </w:r>
    </w:p>
    <w:p w14:paraId="49BF49C2" w14:textId="3BDB51C0"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因公出国（境）费支出0万元，开支内容包括：无因公出国境费。单位全年安排的因公出国（境）团组0个，因公出国（境）0人次。</w:t>
      </w:r>
    </w:p>
    <w:p w14:paraId="4A7D6627" w14:textId="2636864C"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公务用车购置及运行维护费0万元，其中，公务用车购置费0万元，公务用车运行维护费0万元。公务用车运行维护费开支内容包括无公务用车购置费。公务用车购置数0辆，公务用车保有量0辆。</w:t>
      </w:r>
    </w:p>
    <w:p w14:paraId="47C4B55E" w14:textId="65759774"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公务接待费0万元，开支内容包括无公务接待费。单位全年安排的国内公务接待0批次，0人次。</w:t>
      </w:r>
    </w:p>
    <w:p w14:paraId="606EB0C3" w14:textId="1E9AC7CE"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与年初预算数相比情况：一般公共预算“三公”经费支出年初预算数0万元，决算数0万元，预决算差异率0%，主要原因是：按照八项规定，厉行节约压减支出。其中：因公出国（境）费预算数0万元，决算数0万元，预决算差异率0%，主要原因是：无因公出国境费；公务用车购置费预算数0万元，决算数0万元，预决算差异率0%，主要原因是：无公务用车购置费；公务用车运行费预算数0万元，决算数0万元，预决算差异率0%，主要原因是：无公务用车运行费；公务接待费预算数0万元，决算数0万元，预决算差异率0%，主要原因是：无公务接待费。</w:t>
      </w:r>
    </w:p>
    <w:p w14:paraId="11800BF9" w14:textId="2A0977DB" w:rsidR="008853A8" w:rsidRDefault="008853A8">
      <w:pPr>
        <w:ind w:firstLineChars="200" w:firstLine="640"/>
        <w:outlineLvl w:val="1"/>
        <w:rPr>
          <w:rFonts w:ascii="黑体" w:eastAsia="黑体" w:hAnsi="黑体" w:cs="宋体"/>
          <w:bCs/>
          <w:kern w:val="0"/>
          <w:sz w:val="32"/>
          <w:szCs w:val="32"/>
        </w:rPr>
      </w:pPr>
      <w:bookmarkStart w:id="22" w:name="_Toc7927"/>
      <w:bookmarkStart w:id="23" w:name="_Toc5810"/>
      <w:r>
        <w:rPr>
          <w:rFonts w:ascii="黑体" w:eastAsia="黑体" w:hAnsi="黑体" w:cs="宋体" w:hint="eastAsia"/>
          <w:bCs/>
          <w:kern w:val="0"/>
          <w:sz w:val="32"/>
          <w:szCs w:val="32"/>
        </w:rPr>
        <w:t>八、政府性基金预算收入支出决算情况说明</w:t>
      </w:r>
      <w:bookmarkEnd w:id="22"/>
      <w:bookmarkEnd w:id="23"/>
    </w:p>
    <w:p w14:paraId="1D95B262" w14:textId="74B49A74" w:rsidR="008853A8" w:rsidRPr="008F7D99" w:rsidRDefault="00922FA7">
      <w:pPr>
        <w:ind w:firstLineChars="200" w:firstLine="640"/>
        <w:rPr>
          <w:rFonts w:ascii="仿宋_GB2312" w:eastAsia="仿宋_GB2312"/>
          <w:color w:val="000000" w:themeColor="text1"/>
          <w:sz w:val="32"/>
          <w:szCs w:val="32"/>
        </w:rPr>
      </w:pPr>
      <w:r>
        <w:rPr>
          <w:rFonts w:ascii="仿宋_GB2312" w:hAnsi="仿宋_GB2312" w:cs="仿宋_GB2312" w:eastAsia="仿宋_GB2312"/>
          <w:sz w:val="32"/>
        </w:rPr>
        <w:t>2019年度政府性基金预算财政拨款收入171万元，与上年相比，增加171万元，增长100%，主要原因是：2019年新增单位。政府性基金预算支出171万元，与上年相比，增加171万元，增长100%，主要原因是：2019年新增单位。</w:t>
      </w:r>
    </w:p>
    <w:p w14:paraId="12E90A62" w14:textId="77777777" w:rsidR="008853A8" w:rsidRDefault="008853A8">
      <w:pPr>
        <w:ind w:firstLineChars="200" w:firstLine="640"/>
        <w:outlineLvl w:val="1"/>
        <w:rPr>
          <w:rFonts w:ascii="黑体" w:eastAsia="黑体" w:hAnsi="黑体" w:cs="宋体"/>
          <w:bCs/>
          <w:kern w:val="0"/>
          <w:sz w:val="32"/>
          <w:szCs w:val="32"/>
        </w:rPr>
      </w:pPr>
      <w:bookmarkStart w:id="24" w:name="_Toc7314"/>
      <w:bookmarkStart w:id="25" w:name="_Toc1235"/>
      <w:r>
        <w:rPr>
          <w:rFonts w:ascii="黑体" w:eastAsia="黑体" w:hAnsi="黑体" w:cs="宋体" w:hint="eastAsia"/>
          <w:bCs/>
          <w:kern w:val="0"/>
          <w:sz w:val="32"/>
          <w:szCs w:val="32"/>
        </w:rPr>
        <w:t>九、其他重要事项的情况说明</w:t>
      </w:r>
      <w:bookmarkEnd w:id="24"/>
      <w:bookmarkEnd w:id="25"/>
    </w:p>
    <w:p w14:paraId="11400E99" w14:textId="77777777" w:rsidR="008853A8" w:rsidRDefault="008853A8">
      <w:pPr>
        <w:ind w:firstLineChars="200" w:firstLine="640"/>
        <w:outlineLvl w:val="2"/>
        <w:rPr>
          <w:rFonts w:ascii="黑体" w:eastAsia="黑体" w:hAnsi="黑体"/>
          <w:sz w:val="32"/>
          <w:szCs w:val="32"/>
        </w:rPr>
      </w:pPr>
      <w:bookmarkStart w:id="26" w:name="_Toc13105"/>
      <w:bookmarkStart w:id="27" w:name="_Toc14519"/>
      <w:r>
        <w:rPr>
          <w:rFonts w:ascii="黑体" w:eastAsia="黑体" w:hAnsi="黑体" w:hint="eastAsia"/>
          <w:sz w:val="32"/>
          <w:szCs w:val="32"/>
        </w:rPr>
        <w:t>（一）机关运行经费支出情况</w:t>
      </w:r>
      <w:bookmarkEnd w:id="26"/>
      <w:bookmarkEnd w:id="27"/>
    </w:p>
    <w:p w14:paraId="75A0F21C" w14:textId="3A75121C" w:rsidR="00553FB5" w:rsidRDefault="00553FB5">
      <w:pPr>
        <w:ind w:firstLineChars="200" w:firstLine="640"/>
        <w:rPr>
          <w:rFonts w:ascii="仿宋_GB2312" w:eastAsia="仿宋_GB2312"/>
          <w:sz w:val="32"/>
          <w:szCs w:val="32"/>
        </w:rPr>
      </w:pPr>
      <w:r>
        <w:rPr>
          <w:rFonts w:ascii="仿宋_GB2312" w:hAnsi="仿宋_GB2312" w:cs="仿宋_GB2312" w:eastAsia="仿宋_GB2312"/>
          <w:sz w:val="32"/>
        </w:rPr>
        <w:t>2019年度新疆喀什地区泽普县医疗保障局机关运行经费支出8.63万元，比上年增加8.63万元，增长100%，主要原因是2019年新增单位。</w:t>
      </w:r>
    </w:p>
    <w:p w14:paraId="72BCBEBD" w14:textId="77777777" w:rsidR="008853A8" w:rsidRDefault="008853A8">
      <w:pPr>
        <w:ind w:firstLineChars="200" w:firstLine="640"/>
        <w:outlineLvl w:val="2"/>
        <w:rPr>
          <w:rFonts w:ascii="黑体" w:eastAsia="黑体" w:hAnsi="黑体"/>
          <w:sz w:val="32"/>
          <w:szCs w:val="32"/>
        </w:rPr>
      </w:pPr>
      <w:bookmarkStart w:id="28" w:name="_Toc26704"/>
      <w:bookmarkStart w:id="29" w:name="_Toc227"/>
      <w:r>
        <w:rPr>
          <w:rFonts w:ascii="黑体" w:eastAsia="黑体" w:hAnsi="黑体" w:hint="eastAsia"/>
          <w:sz w:val="32"/>
          <w:szCs w:val="32"/>
        </w:rPr>
        <w:t>（二）政府采购情况</w:t>
      </w:r>
      <w:bookmarkEnd w:id="28"/>
      <w:bookmarkEnd w:id="29"/>
    </w:p>
    <w:p w14:paraId="4DEE57E3" w14:textId="498B5E20" w:rsidR="008853A8" w:rsidRDefault="002122DE">
      <w:pPr>
        <w:ind w:firstLineChars="200" w:firstLine="640"/>
        <w:rPr>
          <w:rFonts w:ascii="仿宋_GB2312" w:eastAsia="仿宋_GB2312"/>
          <w:sz w:val="32"/>
          <w:szCs w:val="32"/>
        </w:rPr>
      </w:pPr>
      <w:r>
        <w:rPr>
          <w:rFonts w:ascii="仿宋_GB2312" w:hAnsi="仿宋_GB2312" w:cs="仿宋_GB2312" w:eastAsia="仿宋_GB2312"/>
          <w:sz w:val="32"/>
        </w:rPr>
        <w:t>2019年度政府采购支出总额0万元，其中：政府采购货物支出0万元、政府采购工程支出0万元、政府采购服务支出0万元。</w:t>
      </w:r>
    </w:p>
    <w:p w14:paraId="4BAE89CA" w14:textId="67110A70"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授予中小企业合同金额0万元，占政府采购支出总额的0%，其中：授予小微企业合同金额0万元，占政府采购支出总额的0%。</w:t>
      </w:r>
    </w:p>
    <w:p w14:paraId="01E8DA8F" w14:textId="77777777" w:rsidR="008853A8" w:rsidRDefault="008853A8">
      <w:pPr>
        <w:ind w:firstLineChars="200" w:firstLine="640"/>
        <w:outlineLvl w:val="2"/>
        <w:rPr>
          <w:rFonts w:ascii="黑体" w:eastAsia="黑体" w:hAnsi="黑体"/>
          <w:sz w:val="32"/>
          <w:szCs w:val="32"/>
        </w:rPr>
      </w:pPr>
      <w:bookmarkStart w:id="30" w:name="_Toc4591"/>
      <w:bookmarkStart w:id="31" w:name="_Toc8391"/>
      <w:r>
        <w:rPr>
          <w:rFonts w:ascii="黑体" w:eastAsia="黑体" w:hAnsi="黑体" w:hint="eastAsia"/>
          <w:sz w:val="32"/>
          <w:szCs w:val="32"/>
        </w:rPr>
        <w:t>（三）国有资产占用情况说明</w:t>
      </w:r>
      <w:bookmarkEnd w:id="30"/>
      <w:bookmarkEnd w:id="31"/>
    </w:p>
    <w:p w14:paraId="5D15610F" w14:textId="67052147"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截止2019年12月31日，单位共有房屋0（平方米），价值0万元。车辆0辆，价值0万元，其中：副部（省）级及以上领导用车0辆、主要领导干部用车0辆、机要通信用车0辆、应急保障用车0辆、执法执勤用车0辆、特种专业技术用车0辆、离退休干部用车0辆、其他用车0辆，其他用车主要是：无其他用车；单位价值50万元以上通用设备0台（套）、单位价值100万元以上专用设备0台（套）。</w:t>
      </w:r>
    </w:p>
    <w:p w14:paraId="183976BD" w14:textId="77777777" w:rsidR="008853A8" w:rsidRDefault="008853A8">
      <w:pPr>
        <w:ind w:firstLineChars="200" w:firstLine="640"/>
        <w:outlineLvl w:val="1"/>
        <w:rPr>
          <w:rFonts w:ascii="黑体" w:eastAsia="黑体" w:hAnsi="黑体" w:cs="宋体"/>
          <w:bCs/>
          <w:kern w:val="0"/>
          <w:sz w:val="32"/>
          <w:szCs w:val="32"/>
        </w:rPr>
      </w:pPr>
      <w:bookmarkStart w:id="32" w:name="_Toc435"/>
      <w:bookmarkStart w:id="33" w:name="_Toc11283"/>
      <w:r>
        <w:rPr>
          <w:rFonts w:ascii="黑体" w:eastAsia="黑体" w:hAnsi="黑体" w:cs="宋体" w:hint="eastAsia"/>
          <w:bCs/>
          <w:kern w:val="0"/>
          <w:sz w:val="32"/>
          <w:szCs w:val="32"/>
        </w:rPr>
        <w:t>十、预算绩效的情况说明</w:t>
      </w:r>
      <w:bookmarkEnd w:id="32"/>
      <w:bookmarkEnd w:id="33"/>
    </w:p>
    <w:p w14:paraId="6F8CE58F" w14:textId="5A0ABE11" w:rsidR="008853A8" w:rsidRDefault="0095219B">
      <w:pPr>
        <w:ind w:firstLineChars="200" w:firstLine="640"/>
        <w:rPr>
          <w:rFonts w:ascii="仿宋_GB2312" w:eastAsia="仿宋_GB2312"/>
          <w:sz w:val="32"/>
          <w:szCs w:val="32"/>
        </w:rPr>
      </w:pPr>
      <w:r>
        <w:rPr>
          <w:rFonts w:ascii="仿宋_GB2312" w:hAnsi="仿宋_GB2312" w:cs="仿宋_GB2312" w:eastAsia="仿宋_GB2312"/>
          <w:sz w:val="32"/>
        </w:rPr>
        <w:t>根据预算绩效管理要求，我单位2019年度开展预算绩效评价项目4个，共涉及资金119.36万元。预算绩效管理取得的成效：医疗费报销。发现的问题及原因：无。下一步改进措施：按时进行医疗费用报销。具体项目自评情况附项目支出绩效自评表。</w:t>
      </w:r>
    </w:p>
    <w:p w14:paraId="0B4F81EF" w14:textId="77777777" w:rsidR="008853A8" w:rsidRDefault="008853A8">
      <w:pPr>
        <w:ind w:firstLineChars="200" w:firstLine="640"/>
        <w:jc w:val="center"/>
        <w:outlineLvl w:val="0"/>
        <w:rPr>
          <w:rFonts w:ascii="黑体" w:eastAsia="黑体" w:hAnsi="黑体"/>
          <w:sz w:val="32"/>
          <w:szCs w:val="32"/>
        </w:rPr>
      </w:pPr>
      <w:bookmarkStart w:id="34" w:name="_Toc24143"/>
      <w:bookmarkStart w:id="35" w:name="_Toc3250"/>
      <w:r>
        <w:rPr>
          <w:rFonts w:ascii="黑体" w:eastAsia="黑体" w:hAnsi="黑体" w:hint="eastAsia"/>
          <w:sz w:val="32"/>
          <w:szCs w:val="32"/>
        </w:rPr>
        <w:t>第三部分 专业名词解释</w:t>
      </w:r>
      <w:bookmarkEnd w:id="34"/>
      <w:bookmarkEnd w:id="35"/>
    </w:p>
    <w:p w14:paraId="04385F5B"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14:paraId="01AEDC0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14:paraId="2C3B0A2D"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14:paraId="700224D5"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14:paraId="1D4BF0F9"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14:paraId="05684206"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14:paraId="0BB9913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14:paraId="690389F8"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14:paraId="47D0DD6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14:paraId="32CA0731"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14:paraId="0B82AFA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14:paraId="2F9A67A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14:paraId="51862E8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14:paraId="23B4D7BA"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6BC4C1C0" w14:textId="77777777" w:rsidR="008853A8" w:rsidRDefault="008853A8">
      <w:pPr>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7649D204" w14:textId="77777777" w:rsidR="008853A8" w:rsidRDefault="008853A8">
      <w:pPr>
        <w:ind w:firstLineChars="200" w:firstLine="640"/>
        <w:jc w:val="center"/>
        <w:outlineLvl w:val="0"/>
        <w:rPr>
          <w:rFonts w:ascii="黑体" w:eastAsia="黑体" w:hAnsi="黑体"/>
          <w:sz w:val="32"/>
          <w:szCs w:val="32"/>
        </w:rPr>
      </w:pPr>
      <w:bookmarkStart w:id="36" w:name="_Toc28903"/>
      <w:bookmarkStart w:id="37" w:name="_Toc22784"/>
      <w:r>
        <w:rPr>
          <w:rFonts w:ascii="黑体" w:eastAsia="黑体" w:hAnsi="黑体" w:hint="eastAsia"/>
          <w:sz w:val="32"/>
          <w:szCs w:val="32"/>
        </w:rPr>
        <w:t>第四部分 部门决算报表（见附表）</w:t>
      </w:r>
      <w:bookmarkEnd w:id="36"/>
      <w:bookmarkEnd w:id="37"/>
    </w:p>
    <w:p w14:paraId="090AD99E" w14:textId="77777777" w:rsidR="008853A8" w:rsidRDefault="008853A8">
      <w:pPr>
        <w:ind w:firstLineChars="200" w:firstLine="640"/>
        <w:outlineLvl w:val="1"/>
        <w:rPr>
          <w:rFonts w:ascii="黑体" w:eastAsia="黑体" w:hAnsi="黑体" w:cs="宋体"/>
          <w:bCs/>
          <w:kern w:val="0"/>
          <w:sz w:val="32"/>
          <w:szCs w:val="32"/>
        </w:rPr>
      </w:pPr>
      <w:bookmarkStart w:id="38" w:name="_Toc6062"/>
      <w:bookmarkStart w:id="39" w:name="_Toc2183"/>
      <w:r>
        <w:rPr>
          <w:rFonts w:ascii="黑体" w:eastAsia="黑体" w:hAnsi="黑体" w:cs="宋体" w:hint="eastAsia"/>
          <w:bCs/>
          <w:kern w:val="0"/>
          <w:sz w:val="32"/>
          <w:szCs w:val="32"/>
        </w:rPr>
        <w:t>一、《收入支出决算总表》</w:t>
      </w:r>
      <w:bookmarkEnd w:id="38"/>
      <w:bookmarkEnd w:id="39"/>
    </w:p>
    <w:p w14:paraId="004B471D" w14:textId="77777777" w:rsidR="008853A8" w:rsidRDefault="008853A8">
      <w:pPr>
        <w:ind w:firstLineChars="200" w:firstLine="640"/>
        <w:outlineLvl w:val="1"/>
        <w:rPr>
          <w:rFonts w:ascii="黑体" w:eastAsia="黑体" w:hAnsi="黑体" w:cs="宋体"/>
          <w:bCs/>
          <w:kern w:val="0"/>
          <w:sz w:val="32"/>
          <w:szCs w:val="32"/>
        </w:rPr>
      </w:pPr>
      <w:bookmarkStart w:id="40" w:name="_Toc30364"/>
      <w:bookmarkStart w:id="41" w:name="_Toc24532"/>
      <w:r>
        <w:rPr>
          <w:rFonts w:ascii="黑体" w:eastAsia="黑体" w:hAnsi="黑体" w:cs="宋体" w:hint="eastAsia"/>
          <w:bCs/>
          <w:kern w:val="0"/>
          <w:sz w:val="32"/>
          <w:szCs w:val="32"/>
        </w:rPr>
        <w:t>二、《收入决算表》</w:t>
      </w:r>
      <w:bookmarkEnd w:id="40"/>
      <w:bookmarkEnd w:id="41"/>
    </w:p>
    <w:p w14:paraId="62F3C64D" w14:textId="77777777" w:rsidR="008853A8" w:rsidRDefault="008853A8">
      <w:pPr>
        <w:ind w:firstLineChars="200" w:firstLine="640"/>
        <w:outlineLvl w:val="1"/>
        <w:rPr>
          <w:rFonts w:ascii="黑体" w:eastAsia="黑体" w:hAnsi="黑体" w:cs="宋体"/>
          <w:bCs/>
          <w:kern w:val="0"/>
          <w:sz w:val="32"/>
          <w:szCs w:val="32"/>
        </w:rPr>
      </w:pPr>
      <w:bookmarkStart w:id="42" w:name="_Toc21304"/>
      <w:bookmarkStart w:id="43" w:name="_Toc32434"/>
      <w:r>
        <w:rPr>
          <w:rFonts w:ascii="黑体" w:eastAsia="黑体" w:hAnsi="黑体" w:cs="宋体" w:hint="eastAsia"/>
          <w:bCs/>
          <w:kern w:val="0"/>
          <w:sz w:val="32"/>
          <w:szCs w:val="32"/>
        </w:rPr>
        <w:t>三、《支出决算表》</w:t>
      </w:r>
      <w:bookmarkEnd w:id="42"/>
      <w:bookmarkEnd w:id="43"/>
    </w:p>
    <w:p w14:paraId="3D0B5C9A" w14:textId="77777777" w:rsidR="008853A8" w:rsidRDefault="008853A8">
      <w:pPr>
        <w:ind w:firstLineChars="200" w:firstLine="640"/>
        <w:outlineLvl w:val="1"/>
        <w:rPr>
          <w:rFonts w:ascii="黑体" w:eastAsia="黑体" w:hAnsi="黑体" w:cs="宋体"/>
          <w:bCs/>
          <w:kern w:val="0"/>
          <w:sz w:val="32"/>
          <w:szCs w:val="32"/>
        </w:rPr>
      </w:pPr>
      <w:bookmarkStart w:id="44" w:name="_Toc14238"/>
      <w:bookmarkStart w:id="45" w:name="_Toc28786"/>
      <w:r>
        <w:rPr>
          <w:rFonts w:ascii="黑体" w:eastAsia="黑体" w:hAnsi="黑体" w:cs="宋体" w:hint="eastAsia"/>
          <w:bCs/>
          <w:kern w:val="0"/>
          <w:sz w:val="32"/>
          <w:szCs w:val="32"/>
        </w:rPr>
        <w:t>四、《财政拨款收入支出决算总表》</w:t>
      </w:r>
      <w:bookmarkEnd w:id="44"/>
      <w:bookmarkEnd w:id="45"/>
    </w:p>
    <w:p w14:paraId="77EC65FF" w14:textId="77777777" w:rsidR="008853A8" w:rsidRDefault="008853A8">
      <w:pPr>
        <w:ind w:firstLineChars="200" w:firstLine="640"/>
        <w:outlineLvl w:val="1"/>
        <w:rPr>
          <w:rFonts w:ascii="黑体" w:eastAsia="黑体" w:hAnsi="黑体" w:cs="宋体"/>
          <w:bCs/>
          <w:kern w:val="0"/>
          <w:sz w:val="32"/>
          <w:szCs w:val="32"/>
        </w:rPr>
      </w:pPr>
      <w:bookmarkStart w:id="46" w:name="_Toc10347"/>
      <w:bookmarkStart w:id="47" w:name="_Toc14869"/>
      <w:r>
        <w:rPr>
          <w:rFonts w:ascii="黑体" w:eastAsia="黑体" w:hAnsi="黑体" w:cs="宋体" w:hint="eastAsia"/>
          <w:bCs/>
          <w:kern w:val="0"/>
          <w:sz w:val="32"/>
          <w:szCs w:val="32"/>
        </w:rPr>
        <w:t>五、《一般公共预算财政拨款支出决算表》</w:t>
      </w:r>
      <w:bookmarkEnd w:id="46"/>
      <w:bookmarkEnd w:id="47"/>
    </w:p>
    <w:p w14:paraId="4311D09D" w14:textId="77777777" w:rsidR="008853A8" w:rsidRDefault="008853A8">
      <w:pPr>
        <w:ind w:firstLineChars="200" w:firstLine="640"/>
        <w:outlineLvl w:val="1"/>
        <w:rPr>
          <w:rFonts w:ascii="黑体" w:eastAsia="黑体" w:hAnsi="黑体" w:cs="宋体"/>
          <w:bCs/>
          <w:kern w:val="0"/>
          <w:sz w:val="32"/>
          <w:szCs w:val="32"/>
        </w:rPr>
      </w:pPr>
      <w:bookmarkStart w:id="48" w:name="_Toc5626"/>
      <w:bookmarkStart w:id="49" w:name="_Toc8884"/>
      <w:r>
        <w:rPr>
          <w:rFonts w:ascii="黑体" w:eastAsia="黑体" w:hAnsi="黑体" w:cs="宋体" w:hint="eastAsia"/>
          <w:bCs/>
          <w:kern w:val="0"/>
          <w:sz w:val="32"/>
          <w:szCs w:val="32"/>
        </w:rPr>
        <w:t>六、《一般公共预算财政拨款基本支出决算表》</w:t>
      </w:r>
      <w:bookmarkEnd w:id="48"/>
      <w:bookmarkEnd w:id="49"/>
    </w:p>
    <w:p w14:paraId="1D7CDCF2" w14:textId="77777777" w:rsidR="008853A8" w:rsidRDefault="008853A8">
      <w:pPr>
        <w:ind w:firstLineChars="200" w:firstLine="640"/>
        <w:outlineLvl w:val="1"/>
        <w:rPr>
          <w:rFonts w:ascii="黑体" w:eastAsia="黑体" w:hAnsi="黑体" w:cs="宋体"/>
          <w:bCs/>
          <w:kern w:val="0"/>
          <w:sz w:val="32"/>
          <w:szCs w:val="32"/>
        </w:rPr>
      </w:pPr>
      <w:bookmarkStart w:id="50" w:name="_Toc32663"/>
      <w:bookmarkStart w:id="51" w:name="_Toc29106"/>
      <w:r>
        <w:rPr>
          <w:rFonts w:ascii="黑体" w:eastAsia="黑体" w:hAnsi="黑体" w:cs="宋体" w:hint="eastAsia"/>
          <w:bCs/>
          <w:kern w:val="0"/>
          <w:sz w:val="32"/>
          <w:szCs w:val="32"/>
        </w:rPr>
        <w:t>七、《一般公共预算财政拨款“三公”经费支出决算表》</w:t>
      </w:r>
      <w:bookmarkEnd w:id="50"/>
      <w:bookmarkEnd w:id="51"/>
    </w:p>
    <w:p w14:paraId="5A34F572" w14:textId="77777777" w:rsidR="008853A8" w:rsidRDefault="008853A8">
      <w:pPr>
        <w:ind w:firstLineChars="200" w:firstLine="640"/>
        <w:outlineLvl w:val="1"/>
        <w:rPr>
          <w:rFonts w:ascii="黑体" w:eastAsia="黑体" w:hAnsi="黑体" w:cs="宋体"/>
          <w:bCs/>
          <w:kern w:val="0"/>
          <w:sz w:val="32"/>
          <w:szCs w:val="32"/>
        </w:rPr>
      </w:pPr>
      <w:bookmarkStart w:id="52" w:name="_Toc5453"/>
      <w:bookmarkStart w:id="53" w:name="_Toc7643"/>
      <w:r>
        <w:rPr>
          <w:rFonts w:ascii="黑体" w:eastAsia="黑体" w:hAnsi="黑体" w:cs="宋体" w:hint="eastAsia"/>
          <w:bCs/>
          <w:kern w:val="0"/>
          <w:sz w:val="32"/>
          <w:szCs w:val="32"/>
        </w:rPr>
        <w:t>八、《政府性基金预算财政拨款收入支出决算表》</w:t>
      </w:r>
      <w:bookmarkEnd w:id="52"/>
      <w:bookmarkEnd w:id="53"/>
    </w:p>
    <w:sectPr w:rsidR="008853A8">
      <w:footerReference w:type="default" r:id="rId6"/>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C45808" w14:textId="77777777" w:rsidR="0088099A" w:rsidRDefault="0088099A">
      <w:r>
        <w:separator/>
      </w:r>
    </w:p>
  </w:endnote>
  <w:endnote w:type="continuationSeparator" w:id="0">
    <w:p w14:paraId="1F226AA3" w14:textId="77777777" w:rsidR="0088099A" w:rsidRDefault="008809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微软雅黑"/>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2C3B13" w14:textId="7F39015E" w:rsidR="008853A8" w:rsidRDefault="004F1D2D">
    <w:pPr>
      <w:pStyle w:val="a4"/>
    </w:pPr>
    <w:r>
      <w:rPr>
        <w:noProof/>
      </w:rPr>
      <mc:AlternateContent>
        <mc:Choice Requires="wps">
          <w:drawing>
            <wp:anchor distT="0" distB="0" distL="114300" distR="114300" simplePos="0" relativeHeight="251657728" behindDoc="0" locked="0" layoutInCell="1" allowOverlap="1" wp14:anchorId="5D818AEF" wp14:editId="432F0E00">
              <wp:simplePos x="0" y="0"/>
              <wp:positionH relativeFrom="margin">
                <wp:align>center</wp:align>
              </wp:positionH>
              <wp:positionV relativeFrom="paragraph">
                <wp:posOffset>0</wp:posOffset>
              </wp:positionV>
              <wp:extent cx="1828800" cy="1828800"/>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D818AEF" id="_x0000_t202" coordsize="21600,21600" o:spt="202" path="m,l,21600r21600,l21600,xe">
              <v:stroke joinstyle="miter"/>
              <v:path gradientshapeok="t" o:connecttype="rect"/>
            </v:shapetype>
            <v:shape id="文本框 1" o:spid="_x0000_s1026" type="#_x0000_t202" style="position:absolute;margin-left:0;margin-top:0;width:2in;height:2in;z-index:25165772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AencV47QEAALYDAAAOAAAAZHJzL2Uyb0RvYy54bWysU82O0zAQviPxDpbvNGkPqIqarpZdFSEt P9LCAziOk1jEHmvsNikPAG/AiQt3nqvPwdhpyrJ7Q1yssT3+5ptvPm+uRtOzg0KvwZZ8ucg5U1ZC rW1b8k8fdy/WnPkgbC16sKrkR+X51fb5s83gCrWCDvpaISMQ64vBlbwLwRVZ5mWnjPALcMrSZQNo RKAttlmNYiB002erPH+ZDYC1Q5DKezq9nS75NuE3jZLhfdN4FVhfcuIW0oppreKabTeiaFG4Tssz DfEPLIzQlopeoG5FEGyP+gmU0RLBQxMWEkwGTaOlSj1QN8v8UTf3nXAq9ULieHeRyf8/WPnu8AGZ rml2nFlhaESn799OP36dfn5lyyjP4HxBWfeO8sL4CsaYGlv17g7kZ88s3HTCtuoaEYZOiZropZfZ g6cTjo8g1fAWaqoj9gES0NigiYCkBiN0GtPxMho1BiZjyfVqvc7pStLdvCF2mSjm5w59eK3AsBiU HGn2CV4c7nyYUueUWM3CTvd9mn9v/zogzHiS6EfGE/cwVuNZjgrqIzWCMNmJ7E9BB/iFs4GsVHJL Xuesf2NJiui6OcA5qOZAWEkPSx44m8KbMLlz71C3HeHOYl+TXDudGom6ThzOLMkcSYqzkaP7Hu5T 1p/vtv0NAAD//wMAUEsDBBQABgAIAAAAIQAMSvDu1gAAAAUBAAAPAAAAZHJzL2Rvd25yZXYueG1s TI9Ba8MwDIXvg/4Ho8Juq9MetpDFKaXQS2/rxmA3N1bjMFsOtpsm/37aGGwXoccTT9+rt5N3YsSY +kAK1qsCBFIbTE+dgrfXw0MJImVNRrtAqGDGBNtmcVfryoQbveB4yp3gEEqVVmBzHiopU2vR67QK AxJ7lxC9zixjJ03UNw73Tm6K4lF63RN/sHrAvcX283T1Cp6m94BDwj1+XMY22n4u3XFW6n457Z5B ZJzy3zF84zM6NMx0DlcySTgFXCT/TPY2Zcny/LvIppb/6ZsvAAAA//8DAFBLAQItABQABgAIAAAA IQC2gziS/gAAAOEBAAATAAAAAAAAAAAAAAAAAAAAAABbQ29udGVudF9UeXBlc10ueG1sUEsBAi0A FAAGAAgAAAAhADj9If/WAAAAlAEAAAsAAAAAAAAAAAAAAAAALwEAAF9yZWxzLy5yZWxzUEsBAi0A FAAGAAgAAAAhAB6dxXjtAQAAtgMAAA4AAAAAAAAAAAAAAAAALgIAAGRycy9lMm9Eb2MueG1sUEsB Ai0AFAAGAAgAAAAhAAxK8O7WAAAABQEAAA8AAAAAAAAAAAAAAAAARwQAAGRycy9kb3ducmV2Lnht bFBLBQYAAAAABAAEAPMAAABKBQAAAAA= " filled="f" stroked="f">
              <v:textbox style="mso-fit-shape-to-text:t" inset="0,0,0,0">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31E4CB" w14:textId="77777777" w:rsidR="0088099A" w:rsidRDefault="0088099A">
      <w:r>
        <w:separator/>
      </w:r>
    </w:p>
  </w:footnote>
  <w:footnote w:type="continuationSeparator" w:id="0">
    <w:p w14:paraId="30BF4204" w14:textId="77777777" w:rsidR="0088099A" w:rsidRDefault="008809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bordersDoNotSurroundHeader/>
  <w:bordersDoNotSurroundFooter/>
  <w:documentProtection w:enforcement="1" w:edit="comments" w:salt="ZgECpRerZNHswAmN6/YhWg==" w:hash="TFwj7FD9XmKbk89lenHi0tZMvvQ=" w:cryptSpinCount="100000" w:cryptAlgorithmType="typeAny" w:cryptAlgorithmClass="hash" w:cryptProviderType="rsaFull" w:cryptAlgorithmSid="4"/>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E66"/>
    <w:rsid w:val="000033EF"/>
    <w:rsid w:val="00004533"/>
    <w:rsid w:val="00005A21"/>
    <w:rsid w:val="0004063C"/>
    <w:rsid w:val="000701A7"/>
    <w:rsid w:val="00082456"/>
    <w:rsid w:val="000A663A"/>
    <w:rsid w:val="000B5514"/>
    <w:rsid w:val="000B57B8"/>
    <w:rsid w:val="000B69AB"/>
    <w:rsid w:val="000F01B7"/>
    <w:rsid w:val="000F6705"/>
    <w:rsid w:val="001111D4"/>
    <w:rsid w:val="001128A8"/>
    <w:rsid w:val="001130AE"/>
    <w:rsid w:val="001237CF"/>
    <w:rsid w:val="00125A6F"/>
    <w:rsid w:val="0014029C"/>
    <w:rsid w:val="00144642"/>
    <w:rsid w:val="00146FA3"/>
    <w:rsid w:val="001573AA"/>
    <w:rsid w:val="00162E66"/>
    <w:rsid w:val="001826D1"/>
    <w:rsid w:val="001848EE"/>
    <w:rsid w:val="00186B3B"/>
    <w:rsid w:val="001C2D35"/>
    <w:rsid w:val="001C5BE8"/>
    <w:rsid w:val="001C6E66"/>
    <w:rsid w:val="001D3634"/>
    <w:rsid w:val="001D37EF"/>
    <w:rsid w:val="001E4D79"/>
    <w:rsid w:val="001F29A9"/>
    <w:rsid w:val="001F777A"/>
    <w:rsid w:val="002122DE"/>
    <w:rsid w:val="00227229"/>
    <w:rsid w:val="002328AF"/>
    <w:rsid w:val="00233021"/>
    <w:rsid w:val="0024217C"/>
    <w:rsid w:val="00243E6C"/>
    <w:rsid w:val="00246EBC"/>
    <w:rsid w:val="00265F92"/>
    <w:rsid w:val="00272845"/>
    <w:rsid w:val="00282550"/>
    <w:rsid w:val="00287829"/>
    <w:rsid w:val="0029171A"/>
    <w:rsid w:val="00292B7F"/>
    <w:rsid w:val="00292C0A"/>
    <w:rsid w:val="002A4B19"/>
    <w:rsid w:val="002B072F"/>
    <w:rsid w:val="002B37DA"/>
    <w:rsid w:val="002B7A04"/>
    <w:rsid w:val="002D187F"/>
    <w:rsid w:val="002F1732"/>
    <w:rsid w:val="003106FF"/>
    <w:rsid w:val="00327986"/>
    <w:rsid w:val="003314E6"/>
    <w:rsid w:val="00340AE7"/>
    <w:rsid w:val="00354737"/>
    <w:rsid w:val="0037159F"/>
    <w:rsid w:val="00377EC6"/>
    <w:rsid w:val="003920B8"/>
    <w:rsid w:val="003A44F0"/>
    <w:rsid w:val="003C3EF4"/>
    <w:rsid w:val="003D1DD1"/>
    <w:rsid w:val="003E5F70"/>
    <w:rsid w:val="003F60E1"/>
    <w:rsid w:val="00400D8F"/>
    <w:rsid w:val="004161A5"/>
    <w:rsid w:val="00430E56"/>
    <w:rsid w:val="004318F5"/>
    <w:rsid w:val="00456820"/>
    <w:rsid w:val="00471387"/>
    <w:rsid w:val="00471BBD"/>
    <w:rsid w:val="0047268F"/>
    <w:rsid w:val="004A41CF"/>
    <w:rsid w:val="004A44C9"/>
    <w:rsid w:val="004B2E7F"/>
    <w:rsid w:val="004B3B3F"/>
    <w:rsid w:val="004D35C0"/>
    <w:rsid w:val="004E519F"/>
    <w:rsid w:val="004F1D2D"/>
    <w:rsid w:val="004F506B"/>
    <w:rsid w:val="00531503"/>
    <w:rsid w:val="00534ECA"/>
    <w:rsid w:val="005358C2"/>
    <w:rsid w:val="005474EB"/>
    <w:rsid w:val="005506DD"/>
    <w:rsid w:val="005529D0"/>
    <w:rsid w:val="00553FB5"/>
    <w:rsid w:val="00554A58"/>
    <w:rsid w:val="00560394"/>
    <w:rsid w:val="0056525F"/>
    <w:rsid w:val="005B1DE6"/>
    <w:rsid w:val="005C11EB"/>
    <w:rsid w:val="006032AE"/>
    <w:rsid w:val="00684E46"/>
    <w:rsid w:val="0068591E"/>
    <w:rsid w:val="00690F22"/>
    <w:rsid w:val="00693012"/>
    <w:rsid w:val="006B0B73"/>
    <w:rsid w:val="006D2B94"/>
    <w:rsid w:val="006D3853"/>
    <w:rsid w:val="006E0721"/>
    <w:rsid w:val="0070295D"/>
    <w:rsid w:val="00725755"/>
    <w:rsid w:val="0075023C"/>
    <w:rsid w:val="00750D8A"/>
    <w:rsid w:val="00764051"/>
    <w:rsid w:val="00772611"/>
    <w:rsid w:val="007741F8"/>
    <w:rsid w:val="007B0022"/>
    <w:rsid w:val="007E2E4F"/>
    <w:rsid w:val="007E3BFD"/>
    <w:rsid w:val="00807B4B"/>
    <w:rsid w:val="008144CF"/>
    <w:rsid w:val="00822EED"/>
    <w:rsid w:val="00827663"/>
    <w:rsid w:val="00847CE1"/>
    <w:rsid w:val="00852D88"/>
    <w:rsid w:val="00857132"/>
    <w:rsid w:val="00862395"/>
    <w:rsid w:val="0088099A"/>
    <w:rsid w:val="008853A8"/>
    <w:rsid w:val="00887778"/>
    <w:rsid w:val="008A54C1"/>
    <w:rsid w:val="008D5B57"/>
    <w:rsid w:val="008F7D99"/>
    <w:rsid w:val="0090080D"/>
    <w:rsid w:val="00922FA7"/>
    <w:rsid w:val="00927301"/>
    <w:rsid w:val="009351E1"/>
    <w:rsid w:val="0094423A"/>
    <w:rsid w:val="0095219B"/>
    <w:rsid w:val="00963E2E"/>
    <w:rsid w:val="009774AD"/>
    <w:rsid w:val="00980F6F"/>
    <w:rsid w:val="00993788"/>
    <w:rsid w:val="009A173F"/>
    <w:rsid w:val="009C479E"/>
    <w:rsid w:val="009F4245"/>
    <w:rsid w:val="009F594D"/>
    <w:rsid w:val="00A009B3"/>
    <w:rsid w:val="00A239E7"/>
    <w:rsid w:val="00A34EDA"/>
    <w:rsid w:val="00A77ECE"/>
    <w:rsid w:val="00AA13D0"/>
    <w:rsid w:val="00AC0B18"/>
    <w:rsid w:val="00AC1D87"/>
    <w:rsid w:val="00AC2605"/>
    <w:rsid w:val="00AE136F"/>
    <w:rsid w:val="00AE6C82"/>
    <w:rsid w:val="00AE7A56"/>
    <w:rsid w:val="00AF0871"/>
    <w:rsid w:val="00AF530E"/>
    <w:rsid w:val="00AF5DFE"/>
    <w:rsid w:val="00B006E5"/>
    <w:rsid w:val="00B24234"/>
    <w:rsid w:val="00B3219F"/>
    <w:rsid w:val="00B42062"/>
    <w:rsid w:val="00B64D13"/>
    <w:rsid w:val="00B76725"/>
    <w:rsid w:val="00BC38D2"/>
    <w:rsid w:val="00BC65E4"/>
    <w:rsid w:val="00BE0A9F"/>
    <w:rsid w:val="00BF4880"/>
    <w:rsid w:val="00C01003"/>
    <w:rsid w:val="00C2317E"/>
    <w:rsid w:val="00C87860"/>
    <w:rsid w:val="00C92609"/>
    <w:rsid w:val="00C974A0"/>
    <w:rsid w:val="00CA0969"/>
    <w:rsid w:val="00CB7A14"/>
    <w:rsid w:val="00CC66CE"/>
    <w:rsid w:val="00CD1E0A"/>
    <w:rsid w:val="00CE40E2"/>
    <w:rsid w:val="00CE4AEB"/>
    <w:rsid w:val="00CE74CB"/>
    <w:rsid w:val="00D00B68"/>
    <w:rsid w:val="00D04E19"/>
    <w:rsid w:val="00D6644C"/>
    <w:rsid w:val="00D71F68"/>
    <w:rsid w:val="00D767F4"/>
    <w:rsid w:val="00DA07A0"/>
    <w:rsid w:val="00DB4A9A"/>
    <w:rsid w:val="00DB6F81"/>
    <w:rsid w:val="00DD3B82"/>
    <w:rsid w:val="00E02851"/>
    <w:rsid w:val="00E43F43"/>
    <w:rsid w:val="00E76594"/>
    <w:rsid w:val="00EA656B"/>
    <w:rsid w:val="00EB1FF2"/>
    <w:rsid w:val="00EB42AF"/>
    <w:rsid w:val="00EB49C8"/>
    <w:rsid w:val="00EE3598"/>
    <w:rsid w:val="00EE791B"/>
    <w:rsid w:val="00EF3292"/>
    <w:rsid w:val="00F040C7"/>
    <w:rsid w:val="00F04DC0"/>
    <w:rsid w:val="00F24BA1"/>
    <w:rsid w:val="00F45607"/>
    <w:rsid w:val="00F552F7"/>
    <w:rsid w:val="00F57EE2"/>
    <w:rsid w:val="00F67C07"/>
    <w:rsid w:val="00F777E1"/>
    <w:rsid w:val="00F80266"/>
    <w:rsid w:val="00F83E19"/>
    <w:rsid w:val="00FB3828"/>
    <w:rsid w:val="00FC7A52"/>
    <w:rsid w:val="00FE0761"/>
    <w:rsid w:val="00FF5166"/>
    <w:rsid w:val="06792773"/>
    <w:rsid w:val="1DAF458D"/>
    <w:rsid w:val="2A053397"/>
    <w:rsid w:val="2D1136DF"/>
    <w:rsid w:val="31C63837"/>
    <w:rsid w:val="3D5275AC"/>
    <w:rsid w:val="46901EEE"/>
    <w:rsid w:val="469C74D2"/>
    <w:rsid w:val="50DB5F45"/>
    <w:rsid w:val="69AD798C"/>
    <w:rsid w:val="6B68175F"/>
    <w:rsid w:val="73FB6630"/>
    <w:rsid w:val="77ED6F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A131AF"/>
  <w15:chartTrackingRefBased/>
  <w15:docId w15:val="{7A89F94D-944E-49B7-A5B0-21D8D0FEA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2">
    <w:name w:val="toc 2"/>
    <w:basedOn w:val="a"/>
    <w:next w:val="a"/>
    <w:pPr>
      <w:ind w:leftChars="200" w:left="420"/>
    </w:pPr>
  </w:style>
  <w:style w:type="paragraph" w:styleId="TOC1">
    <w:name w:val="toc 1"/>
    <w:basedOn w:val="a"/>
    <w:next w:val="a"/>
  </w:style>
  <w:style w:type="paragraph" w:styleId="a3">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3">
    <w:name w:val="toc 3"/>
    <w:basedOn w:val="a"/>
    <w:next w:val="a"/>
    <w:pPr>
      <w:ind w:leftChars="400" w:left="840"/>
    </w:pPr>
  </w:style>
  <w:style w:type="paragraph" w:styleId="a4">
    <w:name w:val="footer"/>
    <w:basedOn w:val="a"/>
    <w:pPr>
      <w:tabs>
        <w:tab w:val="center" w:pos="4153"/>
        <w:tab w:val="right" w:pos="8306"/>
      </w:tabs>
      <w:snapToGrid w:val="0"/>
      <w:jc w:val="left"/>
    </w:pPr>
    <w:rPr>
      <w:sz w:val="18"/>
    </w:rPr>
  </w:style>
  <w:style w:type="paragraph" w:styleId="a5">
    <w:name w:val="annotation text"/>
    <w:basedOn w:val="a"/>
    <w:pPr>
      <w:jc w:val="left"/>
    </w:pPr>
  </w:style>
  <w:style w:type="paragraph" w:customStyle="1" w:styleId="WPSOffice3">
    <w:name w:val="WPSOffice手动目录 3"/>
    <w:pPr>
      <w:ind w:leftChars="400" w:left="400"/>
    </w:pPr>
  </w:style>
  <w:style w:type="paragraph" w:customStyle="1" w:styleId="WPSOffice2">
    <w:name w:val="WPSOffice手动目录 2"/>
    <w:pPr>
      <w:ind w:leftChars="200" w:left="200"/>
    </w:pPr>
  </w:style>
  <w:style w:type="paragraph" w:customStyle="1" w:styleId="WPSOffice1">
    <w:name w:val="WPSOffice手动目录 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7381100">
      <w:bodyDiv w:val="1"/>
      <w:marLeft w:val="0"/>
      <w:marRight w:val="0"/>
      <w:marTop w:val="0"/>
      <w:marBottom w:val="0"/>
      <w:divBdr>
        <w:top w:val="none" w:sz="0" w:space="0" w:color="auto"/>
        <w:left w:val="none" w:sz="0" w:space="0" w:color="auto"/>
        <w:bottom w:val="none" w:sz="0" w:space="0" w:color="auto"/>
        <w:right w:val="none" w:sz="0" w:space="0" w:color="auto"/>
      </w:divBdr>
    </w:div>
    <w:div w:id="726150857">
      <w:bodyDiv w:val="1"/>
      <w:marLeft w:val="0"/>
      <w:marRight w:val="0"/>
      <w:marTop w:val="0"/>
      <w:marBottom w:val="0"/>
      <w:divBdr>
        <w:top w:val="none" w:sz="0" w:space="0" w:color="auto"/>
        <w:left w:val="none" w:sz="0" w:space="0" w:color="auto"/>
        <w:bottom w:val="none" w:sz="0" w:space="0" w:color="auto"/>
        <w:right w:val="none" w:sz="0" w:space="0" w:color="auto"/>
      </w:divBdr>
    </w:div>
    <w:div w:id="1085761621">
      <w:bodyDiv w:val="1"/>
      <w:marLeft w:val="0"/>
      <w:marRight w:val="0"/>
      <w:marTop w:val="0"/>
      <w:marBottom w:val="0"/>
      <w:divBdr>
        <w:top w:val="none" w:sz="0" w:space="0" w:color="auto"/>
        <w:left w:val="none" w:sz="0" w:space="0" w:color="auto"/>
        <w:bottom w:val="none" w:sz="0" w:space="0" w:color="auto"/>
        <w:right w:val="none" w:sz="0" w:space="0" w:color="auto"/>
      </w:divBdr>
    </w:div>
    <w:div w:id="1572694809">
      <w:bodyDiv w:val="1"/>
      <w:marLeft w:val="0"/>
      <w:marRight w:val="0"/>
      <w:marTop w:val="0"/>
      <w:marBottom w:val="0"/>
      <w:divBdr>
        <w:top w:val="none" w:sz="0" w:space="0" w:color="auto"/>
        <w:left w:val="none" w:sz="0" w:space="0" w:color="auto"/>
        <w:bottom w:val="none" w:sz="0" w:space="0" w:color="auto"/>
        <w:right w:val="none" w:sz="0" w:space="0" w:color="auto"/>
      </w:divBdr>
    </w:div>
    <w:div w:id="1814247851">
      <w:bodyDiv w:val="1"/>
      <w:marLeft w:val="0"/>
      <w:marRight w:val="0"/>
      <w:marTop w:val="0"/>
      <w:marBottom w:val="0"/>
      <w:divBdr>
        <w:top w:val="none" w:sz="0" w:space="0" w:color="auto"/>
        <w:left w:val="none" w:sz="0" w:space="0" w:color="auto"/>
        <w:bottom w:val="none" w:sz="0" w:space="0" w:color="auto"/>
        <w:right w:val="none" w:sz="0" w:space="0" w:color="auto"/>
      </w:divBdr>
    </w:div>
    <w:div w:id="1847329340">
      <w:bodyDiv w:val="1"/>
      <w:marLeft w:val="0"/>
      <w:marRight w:val="0"/>
      <w:marTop w:val="0"/>
      <w:marBottom w:val="0"/>
      <w:divBdr>
        <w:top w:val="none" w:sz="0" w:space="0" w:color="auto"/>
        <w:left w:val="none" w:sz="0" w:space="0" w:color="auto"/>
        <w:bottom w:val="none" w:sz="0" w:space="0" w:color="auto"/>
        <w:right w:val="none" w:sz="0" w:space="0" w:color="auto"/>
      </w:divBdr>
    </w:div>
    <w:div w:id="1919709360">
      <w:bodyDiv w:val="1"/>
      <w:marLeft w:val="0"/>
      <w:marRight w:val="0"/>
      <w:marTop w:val="0"/>
      <w:marBottom w:val="0"/>
      <w:divBdr>
        <w:top w:val="none" w:sz="0" w:space="0" w:color="auto"/>
        <w:left w:val="none" w:sz="0" w:space="0" w:color="auto"/>
        <w:bottom w:val="none" w:sz="0" w:space="0" w:color="auto"/>
        <w:right w:val="none" w:sz="0" w:space="0" w:color="auto"/>
      </w:divBdr>
    </w:div>
    <w:div w:id="2019891532">
      <w:bodyDiv w:val="1"/>
      <w:marLeft w:val="0"/>
      <w:marRight w:val="0"/>
      <w:marTop w:val="0"/>
      <w:marBottom w:val="0"/>
      <w:divBdr>
        <w:top w:val="none" w:sz="0" w:space="0" w:color="auto"/>
        <w:left w:val="none" w:sz="0" w:space="0" w:color="auto"/>
        <w:bottom w:val="none" w:sz="0" w:space="0" w:color="auto"/>
        <w:right w:val="none" w:sz="0" w:space="0" w:color="auto"/>
      </w:divBdr>
    </w:div>
    <w:div w:id="2102601509">
      <w:bodyDiv w:val="1"/>
      <w:marLeft w:val="0"/>
      <w:marRight w:val="0"/>
      <w:marTop w:val="0"/>
      <w:marBottom w:val="0"/>
      <w:divBdr>
        <w:top w:val="none" w:sz="0" w:space="0" w:color="auto"/>
        <w:left w:val="none" w:sz="0" w:space="0" w:color="auto"/>
        <w:bottom w:val="none" w:sz="0" w:space="0" w:color="auto"/>
        <w:right w:val="none" w:sz="0" w:space="0" w:color="auto"/>
      </w:divBdr>
    </w:div>
    <w:div w:id="2108193054">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20"/>
</w:webSettings>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oter1.xml" Type="http://schemas.openxmlformats.org/officeDocument/2006/relationships/footer"/><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1031</Words>
  <Characters>5881</Characters>
  <Application>Microsoft Office Word</Application>
  <DocSecurity>0</DocSecurity>
  <Lines>49</Lines>
  <Paragraphs>13</Paragraphs>
  <ScaleCrop>false</ScaleCrop>
  <Company/>
  <LinksUpToDate>false</LinksUpToDate>
  <CharactersWithSpaces>6899</CharactersWithSpaces>
  <SharedDoc>false</SharedDoc>
  <HLinks>
    <vt:vector size="162" baseType="variant">
      <vt:variant>
        <vt:i4>1179699</vt:i4>
      </vt:variant>
      <vt:variant>
        <vt:i4>80</vt:i4>
      </vt:variant>
      <vt:variant>
        <vt:i4>0</vt:i4>
      </vt:variant>
      <vt:variant>
        <vt:i4>5</vt:i4>
      </vt:variant>
      <vt:variant>
        <vt:lpwstr/>
      </vt:variant>
      <vt:variant>
        <vt:lpwstr>_Toc7643</vt:lpwstr>
      </vt:variant>
      <vt:variant>
        <vt:i4>1966131</vt:i4>
      </vt:variant>
      <vt:variant>
        <vt:i4>77</vt:i4>
      </vt:variant>
      <vt:variant>
        <vt:i4>0</vt:i4>
      </vt:variant>
      <vt:variant>
        <vt:i4>5</vt:i4>
      </vt:variant>
      <vt:variant>
        <vt:lpwstr/>
      </vt:variant>
      <vt:variant>
        <vt:lpwstr>_Toc29106</vt:lpwstr>
      </vt:variant>
      <vt:variant>
        <vt:i4>1769520</vt:i4>
      </vt:variant>
      <vt:variant>
        <vt:i4>74</vt:i4>
      </vt:variant>
      <vt:variant>
        <vt:i4>0</vt:i4>
      </vt:variant>
      <vt:variant>
        <vt:i4>5</vt:i4>
      </vt:variant>
      <vt:variant>
        <vt:lpwstr/>
      </vt:variant>
      <vt:variant>
        <vt:lpwstr>_Toc8884</vt:lpwstr>
      </vt:variant>
      <vt:variant>
        <vt:i4>1376313</vt:i4>
      </vt:variant>
      <vt:variant>
        <vt:i4>71</vt:i4>
      </vt:variant>
      <vt:variant>
        <vt:i4>0</vt:i4>
      </vt:variant>
      <vt:variant>
        <vt:i4>5</vt:i4>
      </vt:variant>
      <vt:variant>
        <vt:lpwstr/>
      </vt:variant>
      <vt:variant>
        <vt:lpwstr>_Toc14869</vt:lpwstr>
      </vt:variant>
      <vt:variant>
        <vt:i4>1507381</vt:i4>
      </vt:variant>
      <vt:variant>
        <vt:i4>68</vt:i4>
      </vt:variant>
      <vt:variant>
        <vt:i4>0</vt:i4>
      </vt:variant>
      <vt:variant>
        <vt:i4>5</vt:i4>
      </vt:variant>
      <vt:variant>
        <vt:lpwstr/>
      </vt:variant>
      <vt:variant>
        <vt:lpwstr>_Toc28786</vt:lpwstr>
      </vt:variant>
      <vt:variant>
        <vt:i4>1441847</vt:i4>
      </vt:variant>
      <vt:variant>
        <vt:i4>65</vt:i4>
      </vt:variant>
      <vt:variant>
        <vt:i4>0</vt:i4>
      </vt:variant>
      <vt:variant>
        <vt:i4>5</vt:i4>
      </vt:variant>
      <vt:variant>
        <vt:lpwstr/>
      </vt:variant>
      <vt:variant>
        <vt:lpwstr>_Toc32434</vt:lpwstr>
      </vt:variant>
      <vt:variant>
        <vt:i4>1048631</vt:i4>
      </vt:variant>
      <vt:variant>
        <vt:i4>62</vt:i4>
      </vt:variant>
      <vt:variant>
        <vt:i4>0</vt:i4>
      </vt:variant>
      <vt:variant>
        <vt:i4>5</vt:i4>
      </vt:variant>
      <vt:variant>
        <vt:lpwstr/>
      </vt:variant>
      <vt:variant>
        <vt:lpwstr>_Toc24532</vt:lpwstr>
      </vt:variant>
      <vt:variant>
        <vt:i4>1376314</vt:i4>
      </vt:variant>
      <vt:variant>
        <vt:i4>59</vt:i4>
      </vt:variant>
      <vt:variant>
        <vt:i4>0</vt:i4>
      </vt:variant>
      <vt:variant>
        <vt:i4>5</vt:i4>
      </vt:variant>
      <vt:variant>
        <vt:lpwstr/>
      </vt:variant>
      <vt:variant>
        <vt:lpwstr>_Toc2183</vt:lpwstr>
      </vt:variant>
      <vt:variant>
        <vt:i4>1900597</vt:i4>
      </vt:variant>
      <vt:variant>
        <vt:i4>56</vt:i4>
      </vt:variant>
      <vt:variant>
        <vt:i4>0</vt:i4>
      </vt:variant>
      <vt:variant>
        <vt:i4>5</vt:i4>
      </vt:variant>
      <vt:variant>
        <vt:lpwstr/>
      </vt:variant>
      <vt:variant>
        <vt:lpwstr>_Toc22784</vt:lpwstr>
      </vt:variant>
      <vt:variant>
        <vt:i4>1376310</vt:i4>
      </vt:variant>
      <vt:variant>
        <vt:i4>53</vt:i4>
      </vt:variant>
      <vt:variant>
        <vt:i4>0</vt:i4>
      </vt:variant>
      <vt:variant>
        <vt:i4>5</vt:i4>
      </vt:variant>
      <vt:variant>
        <vt:lpwstr/>
      </vt:variant>
      <vt:variant>
        <vt:lpwstr>_Toc3250</vt:lpwstr>
      </vt:variant>
      <vt:variant>
        <vt:i4>1966131</vt:i4>
      </vt:variant>
      <vt:variant>
        <vt:i4>50</vt:i4>
      </vt:variant>
      <vt:variant>
        <vt:i4>0</vt:i4>
      </vt:variant>
      <vt:variant>
        <vt:i4>5</vt:i4>
      </vt:variant>
      <vt:variant>
        <vt:lpwstr/>
      </vt:variant>
      <vt:variant>
        <vt:lpwstr>_Toc11283</vt:lpwstr>
      </vt:variant>
      <vt:variant>
        <vt:i4>1376305</vt:i4>
      </vt:variant>
      <vt:variant>
        <vt:i4>47</vt:i4>
      </vt:variant>
      <vt:variant>
        <vt:i4>0</vt:i4>
      </vt:variant>
      <vt:variant>
        <vt:i4>5</vt:i4>
      </vt:variant>
      <vt:variant>
        <vt:lpwstr/>
      </vt:variant>
      <vt:variant>
        <vt:lpwstr>_Toc8391</vt:lpwstr>
      </vt:variant>
      <vt:variant>
        <vt:i4>2424834</vt:i4>
      </vt:variant>
      <vt:variant>
        <vt:i4>44</vt:i4>
      </vt:variant>
      <vt:variant>
        <vt:i4>0</vt:i4>
      </vt:variant>
      <vt:variant>
        <vt:i4>5</vt:i4>
      </vt:variant>
      <vt:variant>
        <vt:lpwstr/>
      </vt:variant>
      <vt:variant>
        <vt:lpwstr>_Toc227</vt:lpwstr>
      </vt:variant>
      <vt:variant>
        <vt:i4>1179700</vt:i4>
      </vt:variant>
      <vt:variant>
        <vt:i4>41</vt:i4>
      </vt:variant>
      <vt:variant>
        <vt:i4>0</vt:i4>
      </vt:variant>
      <vt:variant>
        <vt:i4>5</vt:i4>
      </vt:variant>
      <vt:variant>
        <vt:lpwstr/>
      </vt:variant>
      <vt:variant>
        <vt:lpwstr>_Toc14519</vt:lpwstr>
      </vt:variant>
      <vt:variant>
        <vt:i4>1048626</vt:i4>
      </vt:variant>
      <vt:variant>
        <vt:i4>38</vt:i4>
      </vt:variant>
      <vt:variant>
        <vt:i4>0</vt:i4>
      </vt:variant>
      <vt:variant>
        <vt:i4>5</vt:i4>
      </vt:variant>
      <vt:variant>
        <vt:lpwstr/>
      </vt:variant>
      <vt:variant>
        <vt:lpwstr>_Toc1235</vt:lpwstr>
      </vt:variant>
      <vt:variant>
        <vt:i4>2031668</vt:i4>
      </vt:variant>
      <vt:variant>
        <vt:i4>35</vt:i4>
      </vt:variant>
      <vt:variant>
        <vt:i4>0</vt:i4>
      </vt:variant>
      <vt:variant>
        <vt:i4>5</vt:i4>
      </vt:variant>
      <vt:variant>
        <vt:lpwstr/>
      </vt:variant>
      <vt:variant>
        <vt:lpwstr>_Toc5810</vt:lpwstr>
      </vt:variant>
      <vt:variant>
        <vt:i4>1507383</vt:i4>
      </vt:variant>
      <vt:variant>
        <vt:i4>32</vt:i4>
      </vt:variant>
      <vt:variant>
        <vt:i4>0</vt:i4>
      </vt:variant>
      <vt:variant>
        <vt:i4>5</vt:i4>
      </vt:variant>
      <vt:variant>
        <vt:lpwstr/>
      </vt:variant>
      <vt:variant>
        <vt:lpwstr>_Toc21518</vt:lpwstr>
      </vt:variant>
      <vt:variant>
        <vt:i4>1048635</vt:i4>
      </vt:variant>
      <vt:variant>
        <vt:i4>29</vt:i4>
      </vt:variant>
      <vt:variant>
        <vt:i4>0</vt:i4>
      </vt:variant>
      <vt:variant>
        <vt:i4>5</vt:i4>
      </vt:variant>
      <vt:variant>
        <vt:lpwstr/>
      </vt:variant>
      <vt:variant>
        <vt:lpwstr>_Toc30870</vt:lpwstr>
      </vt:variant>
      <vt:variant>
        <vt:i4>1114161</vt:i4>
      </vt:variant>
      <vt:variant>
        <vt:i4>26</vt:i4>
      </vt:variant>
      <vt:variant>
        <vt:i4>0</vt:i4>
      </vt:variant>
      <vt:variant>
        <vt:i4>5</vt:i4>
      </vt:variant>
      <vt:variant>
        <vt:lpwstr/>
      </vt:variant>
      <vt:variant>
        <vt:lpwstr>_Toc20360</vt:lpwstr>
      </vt:variant>
      <vt:variant>
        <vt:i4>1507383</vt:i4>
      </vt:variant>
      <vt:variant>
        <vt:i4>23</vt:i4>
      </vt:variant>
      <vt:variant>
        <vt:i4>0</vt:i4>
      </vt:variant>
      <vt:variant>
        <vt:i4>5</vt:i4>
      </vt:variant>
      <vt:variant>
        <vt:lpwstr/>
      </vt:variant>
      <vt:variant>
        <vt:lpwstr>_Toc26564</vt:lpwstr>
      </vt:variant>
      <vt:variant>
        <vt:i4>1310771</vt:i4>
      </vt:variant>
      <vt:variant>
        <vt:i4>20</vt:i4>
      </vt:variant>
      <vt:variant>
        <vt:i4>0</vt:i4>
      </vt:variant>
      <vt:variant>
        <vt:i4>5</vt:i4>
      </vt:variant>
      <vt:variant>
        <vt:lpwstr/>
      </vt:variant>
      <vt:variant>
        <vt:lpwstr>_Toc13201</vt:lpwstr>
      </vt:variant>
      <vt:variant>
        <vt:i4>1114160</vt:i4>
      </vt:variant>
      <vt:variant>
        <vt:i4>17</vt:i4>
      </vt:variant>
      <vt:variant>
        <vt:i4>0</vt:i4>
      </vt:variant>
      <vt:variant>
        <vt:i4>5</vt:i4>
      </vt:variant>
      <vt:variant>
        <vt:lpwstr/>
      </vt:variant>
      <vt:variant>
        <vt:lpwstr>_Toc12142</vt:lpwstr>
      </vt:variant>
      <vt:variant>
        <vt:i4>1245233</vt:i4>
      </vt:variant>
      <vt:variant>
        <vt:i4>14</vt:i4>
      </vt:variant>
      <vt:variant>
        <vt:i4>0</vt:i4>
      </vt:variant>
      <vt:variant>
        <vt:i4>5</vt:i4>
      </vt:variant>
      <vt:variant>
        <vt:lpwstr/>
      </vt:variant>
      <vt:variant>
        <vt:lpwstr>_Toc25314</vt:lpwstr>
      </vt:variant>
      <vt:variant>
        <vt:i4>1638449</vt:i4>
      </vt:variant>
      <vt:variant>
        <vt:i4>11</vt:i4>
      </vt:variant>
      <vt:variant>
        <vt:i4>0</vt:i4>
      </vt:variant>
      <vt:variant>
        <vt:i4>5</vt:i4>
      </vt:variant>
      <vt:variant>
        <vt:lpwstr/>
      </vt:variant>
      <vt:variant>
        <vt:lpwstr>_Toc29374</vt:lpwstr>
      </vt:variant>
      <vt:variant>
        <vt:i4>1507383</vt:i4>
      </vt:variant>
      <vt:variant>
        <vt:i4>8</vt:i4>
      </vt:variant>
      <vt:variant>
        <vt:i4>0</vt:i4>
      </vt:variant>
      <vt:variant>
        <vt:i4>5</vt:i4>
      </vt:variant>
      <vt:variant>
        <vt:lpwstr/>
      </vt:variant>
      <vt:variant>
        <vt:lpwstr>_Toc2151</vt:lpwstr>
      </vt:variant>
      <vt:variant>
        <vt:i4>1114166</vt:i4>
      </vt:variant>
      <vt:variant>
        <vt:i4>5</vt:i4>
      </vt:variant>
      <vt:variant>
        <vt:i4>0</vt:i4>
      </vt:variant>
      <vt:variant>
        <vt:i4>5</vt:i4>
      </vt:variant>
      <vt:variant>
        <vt:lpwstr/>
      </vt:variant>
      <vt:variant>
        <vt:lpwstr>_Toc30567</vt:lpwstr>
      </vt:variant>
      <vt:variant>
        <vt:i4>1310768</vt:i4>
      </vt:variant>
      <vt:variant>
        <vt:i4>2</vt:i4>
      </vt:variant>
      <vt:variant>
        <vt:i4>0</vt:i4>
      </vt:variant>
      <vt:variant>
        <vt:i4>5</vt:i4>
      </vt:variant>
      <vt:variant>
        <vt:lpwstr/>
      </vt:variant>
      <vt:variant>
        <vt:lpwstr>_Toc32314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2020-09-08T14:04:00Z</dcterms:created>
  <dc:creator>GXR</dc:creator>
  <cp:lastModifiedBy>Wevil Dwyane</cp:lastModifiedBy>
  <dcterms:modified xsi:type="dcterms:W3CDTF">2020-09-23T11:32:00Z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