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新疆喀什地区泽普县扶贫开发办公室2019年度部门决算公开说明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（一）贯彻执行国家、自治区、地区扶贫开发和水库移民扶持工作的法律法规方针政策，研究拟定全县扶贫开发战略规划，年度计划，指导实施扶贫开发项目计划。</w:t>
      </w:r>
    </w:p>
    <w:p>
      <w:pPr>
        <w:ind w:firstLine="480"/>
        <w:jc w:val="both"/>
      </w:pPr>
      <w:r>
        <w:rPr>
          <w:rFonts w:ascii="仿宋_GB2312" w:hAnsi="仿宋_GB2312" w:cs="仿宋_GB2312" w:eastAsia="仿宋_GB2312"/>
          <w:b w:val="false"/>
          <w:sz w:val="32"/>
        </w:rPr>
        <w:t>（二）负责本部门社会和谐、党的建设、党风廉政、精神文明、财务等工作。</w:t>
      </w:r>
    </w:p>
    <w:p>
      <w:pPr>
        <w:ind w:firstLine="480"/>
        <w:jc w:val="both"/>
      </w:pPr>
      <w:r>
        <w:rPr>
          <w:rFonts w:ascii="仿宋_GB2312" w:hAnsi="仿宋_GB2312" w:cs="仿宋_GB2312" w:eastAsia="仿宋_GB2312"/>
          <w:b w:val="false"/>
          <w:sz w:val="32"/>
        </w:rPr>
        <w:t>（三）会同有关部门提出全县以及各乡镇场年度扶贫开发项目计划，引导衔接其他部门项目，报县扶贫开发领导小组批准立项，报喀什地区扶贫开发领导小组备案，做好项目实施过程中的组织、协调、检查、监督以及落实。</w:t>
      </w:r>
    </w:p>
    <w:p>
      <w:pPr>
        <w:ind w:firstLine="480"/>
        <w:jc w:val="both"/>
      </w:pPr>
      <w:r>
        <w:rPr>
          <w:rFonts w:ascii="仿宋_GB2312" w:hAnsi="仿宋_GB2312" w:cs="仿宋_GB2312" w:eastAsia="仿宋_GB2312"/>
          <w:b w:val="false"/>
          <w:sz w:val="32"/>
        </w:rPr>
        <w:t>（四）协调产业扶贫发展,引导扶持扶贫龙头企业发展，协助指导扶贫小额信贷工作。</w:t>
      </w:r>
    </w:p>
    <w:p>
      <w:pPr>
        <w:ind w:firstLine="480"/>
        <w:jc w:val="both"/>
      </w:pPr>
      <w:r>
        <w:rPr>
          <w:rFonts w:ascii="仿宋_GB2312" w:hAnsi="仿宋_GB2312" w:cs="仿宋_GB2312" w:eastAsia="仿宋_GB2312"/>
          <w:b w:val="false"/>
          <w:sz w:val="32"/>
        </w:rPr>
        <w:t>（五）指导全县贫困劳动力、扶贫系统干部培训工作，实施扶贫规划，组织重点区域扶贫开发。</w:t>
      </w:r>
    </w:p>
    <w:p>
      <w:pPr>
        <w:ind w:firstLine="480"/>
        <w:jc w:val="both"/>
      </w:pPr>
      <w:r>
        <w:rPr>
          <w:rFonts w:ascii="仿宋_GB2312" w:hAnsi="仿宋_GB2312" w:cs="仿宋_GB2312" w:eastAsia="仿宋_GB2312"/>
          <w:b w:val="false"/>
          <w:sz w:val="32"/>
        </w:rPr>
        <w:t>（六）配合有关部门做好对口援疆扶贫开发工作、区内扶贫协作、定点帮扶协作工作；动员社会各界扶贫济困，协助有关部门向贫困乡村引进人才、技术、资金和设备。</w:t>
      </w:r>
    </w:p>
    <w:p>
      <w:pPr>
        <w:ind w:firstLine="480"/>
        <w:jc w:val="both"/>
      </w:pPr>
      <w:r>
        <w:rPr>
          <w:rFonts w:ascii="仿宋_GB2312" w:hAnsi="仿宋_GB2312" w:cs="仿宋_GB2312" w:eastAsia="仿宋_GB2312"/>
          <w:b w:val="false"/>
          <w:sz w:val="32"/>
        </w:rPr>
        <w:t>（七）拟定年度脱贫攻坚方案 ，组织对扶贫开发情况进行统计和动态监测，指导乡、村统计监测工作，负责贫困户建档立卡管理，配合开展扶贫审计工作。</w:t>
      </w:r>
    </w:p>
    <w:p>
      <w:pPr>
        <w:ind w:firstLine="480"/>
        <w:jc w:val="both"/>
      </w:pPr>
      <w:r>
        <w:rPr>
          <w:rFonts w:ascii="仿宋_GB2312" w:hAnsi="仿宋_GB2312" w:cs="仿宋_GB2312" w:eastAsia="仿宋_GB2312"/>
          <w:b w:val="false"/>
          <w:sz w:val="32"/>
        </w:rPr>
        <w:t>（八）指导扶贫领域问题整改工作，负责开展精准脱贫知识培训工作。</w:t>
      </w:r>
    </w:p>
    <w:p>
      <w:pPr>
        <w:ind w:firstLine="480"/>
        <w:jc w:val="both"/>
      </w:pPr>
      <w:r>
        <w:rPr>
          <w:rFonts w:ascii="仿宋_GB2312" w:hAnsi="仿宋_GB2312" w:cs="仿宋_GB2312" w:eastAsia="仿宋_GB2312"/>
          <w:b w:val="false"/>
          <w:sz w:val="32"/>
        </w:rPr>
        <w:t>（九）负责制定年度脱贫退出验收计划，对乡、村脱贫退出初验结果进行检查，配合做好国务院、自治区和地区扶贫办组织的年度考核验收、第三方评估等工作。</w:t>
      </w:r>
    </w:p>
    <w:p>
      <w:pPr>
        <w:ind w:firstLine="480"/>
        <w:jc w:val="both"/>
      </w:pPr>
      <w:r>
        <w:rPr>
          <w:rFonts w:ascii="仿宋_GB2312" w:hAnsi="仿宋_GB2312" w:cs="仿宋_GB2312" w:eastAsia="仿宋_GB2312"/>
          <w:b w:val="false"/>
          <w:sz w:val="32"/>
        </w:rPr>
        <w:t>（十）组织开展扶贫经验交流及扶贫宣传工作。</w:t>
      </w:r>
    </w:p>
    <w:p>
      <w:pPr>
        <w:ind w:firstLine="480"/>
        <w:jc w:val="both"/>
      </w:pPr>
      <w:r>
        <w:rPr>
          <w:rFonts w:ascii="仿宋_GB2312" w:hAnsi="仿宋_GB2312" w:cs="仿宋_GB2312" w:eastAsia="仿宋_GB2312"/>
          <w:b w:val="false"/>
          <w:sz w:val="32"/>
        </w:rPr>
        <w:t>（十一）负责脱贫攻坚巩固提升工程，保证脱贫质量，推进与乡村振兴衔接。</w:t>
      </w:r>
    </w:p>
    <w:p>
      <w:pPr>
        <w:ind w:firstLine="480"/>
        <w:jc w:val="both"/>
      </w:pPr>
      <w:r>
        <w:rPr>
          <w:rFonts w:ascii="仿宋_GB2312" w:hAnsi="仿宋_GB2312" w:cs="仿宋_GB2312" w:eastAsia="仿宋_GB2312"/>
          <w:b w:val="false"/>
          <w:sz w:val="32"/>
        </w:rPr>
        <w:t>（十二）负责编报水库移民安置开发中长期规划和计划项目；负责水库移民后期扶持工作的管理、协调、监督、检查、指导工作；负责水库移民资金的管理和水库移民干部的培训工作。</w:t>
      </w:r>
    </w:p>
    <w:p>
      <w:pPr>
        <w:ind w:firstLine="480"/>
        <w:jc w:val="both"/>
      </w:pPr>
      <w:r>
        <w:rPr>
          <w:rFonts w:ascii="仿宋_GB2312" w:hAnsi="仿宋_GB2312" w:cs="仿宋_GB2312" w:eastAsia="仿宋_GB2312"/>
          <w:b w:val="false"/>
          <w:sz w:val="32"/>
        </w:rPr>
        <w:t>（十三条）管理维护并应用全国扶贫开发业务管理子系统和新疆脱贫攻坚大数据平台，对县级脱贫攻坚信息数据实行信息化管理，实现静态数据展示、动态数据管理、监督比对审查三位一体的监管体系，对脱贫攻坚全过程进行动态跟踪、实时监管、自动预警；实现精细化、精准化管理。</w:t>
      </w:r>
    </w:p>
    <w:p>
      <w:pPr>
        <w:ind w:firstLine="480"/>
        <w:jc w:val="both"/>
      </w:pPr>
      <w:r>
        <w:rPr>
          <w:rFonts w:ascii="仿宋_GB2312" w:hAnsi="仿宋_GB2312" w:cs="仿宋_GB2312" w:eastAsia="仿宋_GB2312"/>
          <w:b w:val="false"/>
          <w:sz w:val="32"/>
        </w:rPr>
        <w:t>（十四条）完成县委、政府交办的其它工作。</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新疆喀什地区泽普县扶贫开发办公室2019年度，实有人数23人人，其中：在职人员23人，离休人员0人，退休人员0人。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从部门决算单位构成看，新疆喀什地区泽普县扶贫开发办公室部门决算包括：新疆喀什地区泽普县扶贫开发办公室决算。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1,443.07万元，与上年相比，减少3,776.31万元，下降72.35%，主要原因是：扶贫办实施的项目减少，下达资金相应减少。本年支出1,707.53万元，与上年相比，减少3,303.17万元，下降65.92%，主要原因是：扶贫办实施的项目减少，支出相应就减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2019年度本年收入1,443.07万元，其中：财政拨款收入1,443.07万元，占100%；上级补助收入0万元，占0%；事业收入0万元，占0%；经营收入0万元，占0%；附属单位上缴收入0万元，占0%；其他收入0万元，占0%。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2019年度本年支出1,707.53万元，其中：基本支出253.57万元，占14.85%；项目支出1,453.96万元，占85.15%；上缴上级支出0万元，占0%；经营支出0万元，占0%；对附属单位补助支出0万元，占0%。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1,443.07万元，与上年相比，减少1,770.71万元，下降55.1%，主要原因是：扶贫办实施的项目减少，下达资金相应减少。财政拨款支出1,443.07万元，与上年相比，减少1,826.95万元，下降55.87%，主要原因是：扶贫办实施的项目减少，支出相应就减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99.27万元，决算数1,443.07万元，预决算差异率1353.68%，主要原因是：新增调入人员18人，扶贫办实施的项目下达资金增加了决算支出数。财政拨款支出年初预算数99.27万元，决算数1,443.07万元，预决算差异率1353.68%，主要原因是：人员工资支出和项目资金支出增加了决算支出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2019年度一般公共预算财政拨款支出1,441.87万元。按功能分类科目项级科目公开，其中：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2080505机关事业单位基本养老保险缴费支出22.51万元；</w:t>
      </w:r>
    </w:p>
    <w:p>
      <w:pPr>
        <w:ind w:firstLine="480"/>
        <w:jc w:val="both"/>
      </w:pPr>
      <w:r>
        <w:rPr>
          <w:rFonts w:ascii="仿宋_GB2312" w:hAnsi="仿宋_GB2312" w:cs="仿宋_GB2312" w:eastAsia="仿宋_GB2312"/>
          <w:b w:val="false"/>
          <w:sz w:val="32"/>
        </w:rPr>
        <w:t xml:space="preserve">   2130501行政运行支出132.15万元；</w:t>
      </w:r>
    </w:p>
    <w:p>
      <w:pPr>
        <w:ind w:firstLine="480"/>
        <w:jc w:val="both"/>
      </w:pPr>
      <w:r>
        <w:rPr>
          <w:rFonts w:ascii="仿宋_GB2312" w:hAnsi="仿宋_GB2312" w:cs="仿宋_GB2312" w:eastAsia="仿宋_GB2312"/>
          <w:b w:val="false"/>
          <w:sz w:val="32"/>
        </w:rPr>
        <w:t xml:space="preserve">   2130504农村基础设施建设支出390万元；</w:t>
      </w:r>
    </w:p>
    <w:p>
      <w:pPr>
        <w:ind w:firstLine="480"/>
        <w:jc w:val="both"/>
      </w:pPr>
      <w:r>
        <w:rPr>
          <w:rFonts w:ascii="仿宋_GB2312" w:hAnsi="仿宋_GB2312" w:cs="仿宋_GB2312" w:eastAsia="仿宋_GB2312"/>
          <w:b w:val="false"/>
          <w:sz w:val="32"/>
        </w:rPr>
        <w:t xml:space="preserve">   2130505生产发展支出673.32万元；</w:t>
      </w:r>
    </w:p>
    <w:p>
      <w:pPr>
        <w:ind w:firstLine="480"/>
        <w:jc w:val="both"/>
      </w:pPr>
      <w:r>
        <w:rPr>
          <w:rFonts w:ascii="仿宋_GB2312" w:hAnsi="仿宋_GB2312" w:cs="仿宋_GB2312" w:eastAsia="仿宋_GB2312"/>
          <w:b w:val="false"/>
          <w:sz w:val="32"/>
        </w:rPr>
        <w:t xml:space="preserve">   2130550扶贫事业机构支出81.03万元；</w:t>
      </w:r>
    </w:p>
    <w:p>
      <w:pPr>
        <w:ind w:firstLine="480"/>
        <w:jc w:val="both"/>
      </w:pPr>
      <w:r>
        <w:rPr>
          <w:rFonts w:ascii="仿宋_GB2312" w:hAnsi="仿宋_GB2312" w:cs="仿宋_GB2312" w:eastAsia="仿宋_GB2312"/>
          <w:b w:val="false"/>
          <w:sz w:val="32"/>
        </w:rPr>
        <w:t xml:space="preserve">   2130599其他扶贫支出124.97万元；</w:t>
      </w:r>
    </w:p>
    <w:p>
      <w:pPr>
        <w:ind w:firstLine="480"/>
        <w:jc w:val="both"/>
      </w:pPr>
      <w:r>
        <w:rPr>
          <w:rFonts w:ascii="仿宋_GB2312" w:hAnsi="仿宋_GB2312" w:cs="仿宋_GB2312" w:eastAsia="仿宋_GB2312"/>
          <w:b w:val="false"/>
          <w:sz w:val="32"/>
        </w:rPr>
        <w:t xml:space="preserve">   2210201住房公积金支出17.88万元。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2019年度一般公共预算财政拨款基本支出253.57万元，其中：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人员经费216.05万元，包括：基本工资、津贴补贴、绩效工资、机关事业单位基本养老保险缴费、职工基本医疗保险缴费、公务员医疗补助缴费、其他社会保障缴费、住房公积金。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公用经费37.52万元，包括：办公费、差旅费、租赁费、培训费、公务接待费、劳务费、公务用车运行维护费。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35.29万元，比上年减少7.79万元，降低18.08%，主要原因是2018年是我县贫困退出之年，各县市学习观摩、第三方验收等原因导致三公经费增加，2019年巩固脱贫成效，观摩学习，检查指导工作相应减少，费用支出自然减少。其中，因公出国（境）费支出0万元，占0%，比上年增加0万元，增长0%，主要原因是无因公出国境费；公务用车购置及运行维护费支出5.33万元，占15.1%，比上年减少1.59万元，降低22.98%，主要原因是我县脱贫攻坚检查指导工作相应减少，公务运行维护费也较上年相应较少；公务接待费支出29.96万元，占84.9%，比上年减少6.20万元，降低17.15%，主要原因是2018年是我县贫困退出之年，各县市学习观摩、第三方验收等原因导致公务接待费用增加，2019年巩固脱贫成效，观摩学习，检查指导工作相应减少，公务接待费用支出自然减少。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因公出国（境）费支出0万元，开支内容包括：无因公出国境费。单位全年安排的因公出国（境）团组0个，因公出国（境）0人次。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公务用车购置及运行维护费5.33万元，其中，公务用车购置费0万元，公务用车运行维护费5.33万元。公务用车运行维护费开支内容包括车辆维修、维护、燃油费等。公务用车购置数0辆，公务用车保有量1辆。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公务接待费29.96万元，开支内容包括观摩学习，检查指导工作等。单位全年安排的国内公务接待68批次，1436人次。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35.29万元，决算数35.29万元，预决算差异率0%，主要原因是：无差异。其中：因公出国（境）费预算数0万元，决算数0万元，预决算差异率0%，主要原因是：无差异；公务用车购置费预算数0万元，决算数0万元，预决算差异率0%，主要原因是：无差异；公务用车运行费预算数5.33万元，决算数5.33万元，预决算差异率0%，主要原因是：无差异；公务接待费预算数29.96万元，决算数29.96万元，预决算差异率0%，主要原因是：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1.20万元，与上年相比，增加0.52万元，增长76.47%，主要原因是：2018年以前下达的水库移民资金一半是政府预算财政拨款，一半是财政预算资金，2019年全部以政府性预算财政拨款收入下达，因此比上年增加。政府性基金预算支出1.20万元，与上年相比，增加0.52万元，增长76.47%，主要原因是：2018年以前下达的水库移民资金一半是政府预算财政拨款，一半是财政预算资金，2019年全部以政府性预算财政拨款收入下达，因此比上年增加。</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2019年度新疆喀什地区泽普县扶贫开发办公室机关运行经费支出37.52万元，比上年减少37.46万元，降低49.96%，主要原因是观摩学习，检查指导工作减少，支出相应减少。</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2019年度政府采购支出总额54.20万元，其中：政府采购货物支出54.20万元、政府采购工程支出0万元、政府采购服务支出0万元。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1辆，价值14.18万元，其中：副部（省）级及以上领导用车0辆、主要领导干部用车0辆、机要通信用车0辆、应急保障用车0辆、执法执勤用车0辆、特种专业技术用车0辆、离退休干部用车0辆、其他用车1辆，其他用车主要是：保持正常的公务用车，检查督导各乡镇实施脱贫攻坚各项工作落实情况；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5个，共涉及资金1,453.96万元。预算绩效管理取得的成效：通过实施2019年实施大中型水库移民直补资金以来，在我县库区和移民安置区产生了良好的社会效益，扶持资金直补到移民个人，给移民带来收入的直接“输血”，帮助移民解决生产、生活中的实际困难，移民人口增加纯收入600元。经满意度调查，受益人群满意度达90%。发现的问题及原因：无。下一步改进措施：1、规范项目运作，夯实项目建设的基础。着眼“打基础、利长远”，注重从基础工作做起，做实项目前期工作，项目实施规范有序。
2、加强督导调度，促进项目建设的快速推进。一是建立有效的项目推进工作机制，细化任务目标，实地检验重点项目建设成效。二是实行督查工作制度，责任到人对重点项目实行督查，随时督查项目进展情况及建设工程存在的突出问题。三是制订责任书，加大重点项目建设管理，增强了项目责任人抓项目的责任感，激发和调动抓好项目建设的积极性。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RrZUtFQmLhHHuzEXmLkAhw==" w:hash="HnGo/AI8aQFVtzoQcDqxUx7l3Qs="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