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6D" w:rsidRPr="00E0445A" w:rsidRDefault="00211A6D">
      <w:pPr>
        <w:snapToGrid w:val="0"/>
        <w:spacing w:line="640" w:lineRule="exact"/>
        <w:rPr>
          <w:rFonts w:ascii="黑体" w:eastAsia="黑体" w:hAnsi="黑体" w:cs="宋体"/>
          <w:color w:val="333333"/>
          <w:sz w:val="32"/>
          <w:szCs w:val="32"/>
        </w:rPr>
      </w:pPr>
    </w:p>
    <w:p w:rsidR="00211A6D" w:rsidRDefault="00211A6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ind w:left="219" w:hangingChars="42" w:hanging="219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211A6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565F9A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自治区项目支出绩效自评报告</w:t>
      </w:r>
    </w:p>
    <w:p w:rsidR="00211A6D" w:rsidRDefault="00211A6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211A6D" w:rsidRDefault="00565F9A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211A6D" w:rsidRDefault="00211A6D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211A6D" w:rsidRDefault="00565F9A" w:rsidP="00211A6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项目名称：泽普县农村饮水安全巩固提升工程（供水总厂）二期</w:t>
      </w:r>
    </w:p>
    <w:p w:rsidR="00211A6D" w:rsidRDefault="00565F9A" w:rsidP="00211A6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实施单位（公章）：泽普县农村饮水安全工程管理站</w:t>
      </w:r>
    </w:p>
    <w:p w:rsidR="00211A6D" w:rsidRDefault="00565F9A" w:rsidP="00211A6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主管部门（公章）：泽普县水利局</w:t>
      </w:r>
    </w:p>
    <w:p w:rsidR="00211A6D" w:rsidRDefault="00565F9A" w:rsidP="00211A6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木塔力甫</w:t>
      </w:r>
      <w:r>
        <w:rPr>
          <w:rFonts w:ascii="宋体" w:eastAsia="宋体" w:hAnsi="宋体" w:cs="宋体"/>
          <w:sz w:val="24"/>
        </w:rPr>
        <w:t>•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托合提</w:t>
      </w:r>
    </w:p>
    <w:p w:rsidR="00211A6D" w:rsidRDefault="00565F9A" w:rsidP="00211A6D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31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211A6D" w:rsidRDefault="00565F9A">
      <w:pPr>
        <w:spacing w:line="600" w:lineRule="exact"/>
        <w:ind w:firstLine="640"/>
        <w:rPr>
          <w:rStyle w:val="a3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3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211A6D" w:rsidRDefault="00565F9A">
      <w:pPr>
        <w:spacing w:line="600" w:lineRule="exact"/>
        <w:ind w:firstLine="567"/>
        <w:rPr>
          <w:rStyle w:val="a3"/>
          <w:rFonts w:ascii="楷体_GB2312" w:eastAsia="楷体_GB2312" w:hAnsi="楷体"/>
          <w:spacing w:val="-4"/>
          <w:sz w:val="32"/>
          <w:szCs w:val="32"/>
        </w:rPr>
      </w:pPr>
      <w:r>
        <w:rPr>
          <w:rStyle w:val="a3"/>
          <w:rFonts w:ascii="楷体_GB2312" w:eastAsia="楷体_GB2312" w:hAnsi="楷体" w:hint="eastAsia"/>
          <w:spacing w:val="-4"/>
          <w:sz w:val="32"/>
          <w:szCs w:val="32"/>
        </w:rPr>
        <w:t>（一）项目基本情况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1、项目名称：泽普县农村饮水安全巩固提升工程（供水总厂）二期。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2、实施主体：泽普县农村饮水安全工程管理站。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职能:负责向用水户提供符合水质，水量要求的供水服务，保障经常供水，落实相关人员，做好水源巡查，工作运行管理，水质检测，水费计收和维修养护工作。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部门设置:办公室、财务室、供水总厂、各乡镇水厂 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人员情况:管理人员4个,财务人员2个，乡政供水站及供水总厂管理人员14个。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color w:val="0000FF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3、立项依据：（喀发改农经【2017】310号）,关于泽普县农村饮水安全巩固提升工程(供水总厂)初步设计报告的批复。</w:t>
      </w:r>
    </w:p>
    <w:p w:rsidR="00211A6D" w:rsidRDefault="00565F9A">
      <w:pPr>
        <w:spacing w:line="36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项目背景：党中央、国务院高度重视农村饮水安全工作，自2005年国家实施农村饮水安全工程检视以来，全国农村饮水安全保障能力得到快速提高，农村居民饮水条件得到显著改善，城乡差距进一步缩小。农水司召开全国农村饮水工程“十三五”规划编制座谈会时指出，“十三”五期间需解决的问题：一是拾遗补缺，对于近年来因城镇化进程新农村建设等原因造成的农村供水新问题；二是提质增效，对农村饮水安全工程进行必要的改造，进步完善水质检测和供水净化消毒工作。</w:t>
      </w:r>
    </w:p>
    <w:p w:rsidR="00211A6D" w:rsidRDefault="00565F9A">
      <w:pPr>
        <w:spacing w:line="36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水利部将按照精准扶贫、精准脱贫，聚焦西部贫困地区，启动实施农村饮水安全巩固提升工程，对已建工程进行配套、改造、升级、联网，健全工作管理体制和运行机制，进一步提高农村集中供水率、自来水普及率、水质达标率和供水保证率。</w:t>
      </w:r>
    </w:p>
    <w:p w:rsidR="00211A6D" w:rsidRDefault="00565F9A">
      <w:pPr>
        <w:numPr>
          <w:ilvl w:val="0"/>
          <w:numId w:val="1"/>
        </w:numPr>
        <w:spacing w:line="36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项目性质：续建。</w:t>
      </w:r>
    </w:p>
    <w:p w:rsidR="00211A6D" w:rsidRDefault="00565F9A">
      <w:pPr>
        <w:numPr>
          <w:ilvl w:val="0"/>
          <w:numId w:val="1"/>
        </w:numPr>
        <w:spacing w:line="36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项目主要工作内容：本工程覆盖泽普县12个乡、镇、场（60个行政村），共计177.771公里（管径范围：φ75-φ315），管材采购（均用PE管）安装和管材工程质量检测，配套建设阀门井100座、水表井500座、入户1809户。</w:t>
      </w:r>
    </w:p>
    <w:p w:rsidR="00211A6D" w:rsidRDefault="00565F9A">
      <w:pPr>
        <w:spacing w:line="360" w:lineRule="auto"/>
        <w:ind w:firstLine="56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7、预算资金：项目资金概算总投资1755万元。</w:t>
      </w:r>
    </w:p>
    <w:p w:rsidR="00211A6D" w:rsidRDefault="00565F9A">
      <w:pPr>
        <w:spacing w:line="360" w:lineRule="auto"/>
        <w:ind w:firstLine="567"/>
        <w:rPr>
          <w:rStyle w:val="a3"/>
          <w:rFonts w:ascii="楷体_GB2312" w:eastAsia="楷体_GB2312" w:hAnsi="楷体"/>
          <w:spacing w:val="-4"/>
          <w:sz w:val="32"/>
          <w:szCs w:val="32"/>
        </w:rPr>
      </w:pPr>
      <w:r>
        <w:rPr>
          <w:rStyle w:val="a3"/>
          <w:rFonts w:ascii="楷体_GB2312" w:eastAsia="楷体_GB2312" w:hAnsi="楷体" w:hint="eastAsia"/>
          <w:spacing w:val="-4"/>
          <w:sz w:val="32"/>
          <w:szCs w:val="32"/>
        </w:rPr>
        <w:t>（二）项目预算</w:t>
      </w:r>
      <w:r>
        <w:rPr>
          <w:rStyle w:val="a3"/>
          <w:rFonts w:ascii="楷体_GB2312" w:eastAsia="楷体_GB2312" w:hAnsi="楷体"/>
          <w:spacing w:val="-4"/>
          <w:sz w:val="32"/>
          <w:szCs w:val="32"/>
        </w:rPr>
        <w:t>绩效目标</w:t>
      </w:r>
      <w:r>
        <w:rPr>
          <w:rStyle w:val="a3"/>
          <w:rFonts w:ascii="楷体_GB2312" w:eastAsia="楷体_GB2312" w:hAnsi="楷体" w:hint="eastAsia"/>
          <w:spacing w:val="-4"/>
          <w:sz w:val="32"/>
          <w:szCs w:val="32"/>
        </w:rPr>
        <w:t>设定情况</w:t>
      </w:r>
    </w:p>
    <w:p w:rsidR="00211A6D" w:rsidRDefault="00565F9A">
      <w:pPr>
        <w:spacing w:line="360" w:lineRule="auto"/>
        <w:ind w:firstLineChars="236" w:firstLine="755"/>
        <w:jc w:val="left"/>
        <w:rPr>
          <w:rFonts w:eastAsia="仿宋_GB2312" w:hAnsi="宋体" w:cs="宋体"/>
          <w:kern w:val="0"/>
          <w:sz w:val="32"/>
          <w:szCs w:val="32"/>
        </w:rPr>
      </w:pPr>
      <w:r>
        <w:rPr>
          <w:rFonts w:eastAsia="仿宋_GB2312" w:hAnsi="宋体" w:cs="宋体" w:hint="eastAsia"/>
          <w:kern w:val="0"/>
          <w:sz w:val="32"/>
          <w:szCs w:val="32"/>
        </w:rPr>
        <w:t>泽普县农村饮水安全巩固提升工程（供水总厂）二期项目为</w:t>
      </w:r>
      <w:r>
        <w:rPr>
          <w:rFonts w:ascii="仿宋_GB2312" w:eastAsia="仿宋_GB2312" w:hint="eastAsia"/>
          <w:sz w:val="32"/>
          <w:szCs w:val="32"/>
        </w:rPr>
        <w:t>续建</w:t>
      </w:r>
      <w:r>
        <w:rPr>
          <w:rFonts w:eastAsia="仿宋_GB2312" w:hAnsi="宋体" w:cs="宋体" w:hint="eastAsia"/>
          <w:kern w:val="0"/>
          <w:sz w:val="32"/>
          <w:szCs w:val="32"/>
        </w:rPr>
        <w:t>项目，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实施年限为2019年，年度主要目标为：</w:t>
      </w:r>
      <w:r>
        <w:rPr>
          <w:rFonts w:eastAsia="仿宋_GB2312" w:hAnsi="宋体" w:cs="宋体" w:hint="eastAsia"/>
          <w:kern w:val="0"/>
          <w:sz w:val="32"/>
          <w:szCs w:val="32"/>
        </w:rPr>
        <w:t>该工程实施以后社会效益是十分明显的，项目区域内的（</w:t>
      </w:r>
      <w:r>
        <w:rPr>
          <w:rFonts w:eastAsia="仿宋_GB2312" w:hAnsi="宋体" w:cs="宋体" w:hint="eastAsia"/>
          <w:kern w:val="0"/>
          <w:sz w:val="32"/>
          <w:szCs w:val="32"/>
        </w:rPr>
        <w:t>6900</w:t>
      </w:r>
      <w:r>
        <w:rPr>
          <w:rFonts w:eastAsia="仿宋_GB2312" w:hAnsi="宋体" w:cs="宋体" w:hint="eastAsia"/>
          <w:kern w:val="0"/>
          <w:sz w:val="32"/>
          <w:szCs w:val="32"/>
        </w:rPr>
        <w:t>户</w:t>
      </w:r>
      <w:r>
        <w:rPr>
          <w:rFonts w:eastAsia="仿宋_GB2312" w:hAnsi="宋体" w:cs="宋体" w:hint="eastAsia"/>
          <w:kern w:val="0"/>
          <w:sz w:val="32"/>
          <w:szCs w:val="32"/>
        </w:rPr>
        <w:t>36747</w:t>
      </w:r>
      <w:r>
        <w:rPr>
          <w:rFonts w:eastAsia="仿宋_GB2312" w:hAnsi="宋体" w:cs="宋体" w:hint="eastAsia"/>
          <w:kern w:val="0"/>
          <w:sz w:val="32"/>
          <w:szCs w:val="32"/>
        </w:rPr>
        <w:t>人，其中贫困户</w:t>
      </w:r>
      <w:r>
        <w:rPr>
          <w:rFonts w:eastAsia="仿宋_GB2312" w:hAnsi="宋体" w:cs="宋体" w:hint="eastAsia"/>
          <w:kern w:val="0"/>
          <w:sz w:val="32"/>
          <w:szCs w:val="32"/>
        </w:rPr>
        <w:t>198</w:t>
      </w:r>
      <w:r>
        <w:rPr>
          <w:rFonts w:eastAsia="仿宋_GB2312" w:hAnsi="宋体" w:cs="宋体" w:hint="eastAsia"/>
          <w:kern w:val="0"/>
          <w:sz w:val="32"/>
          <w:szCs w:val="32"/>
        </w:rPr>
        <w:t>户，贫困人口</w:t>
      </w:r>
      <w:r>
        <w:rPr>
          <w:rFonts w:eastAsia="仿宋_GB2312" w:hAnsi="宋体" w:cs="宋体" w:hint="eastAsia"/>
          <w:kern w:val="0"/>
          <w:sz w:val="32"/>
          <w:szCs w:val="32"/>
        </w:rPr>
        <w:t>752</w:t>
      </w:r>
      <w:r>
        <w:rPr>
          <w:rFonts w:eastAsia="仿宋_GB2312" w:hAnsi="宋体" w:cs="宋体" w:hint="eastAsia"/>
          <w:kern w:val="0"/>
          <w:sz w:val="32"/>
          <w:szCs w:val="32"/>
        </w:rPr>
        <w:t>人）。促进生产，发展农村的经济，对整个项目区的物质文明和精神文明建设将有很大的促进作用。同时有效的控制了偏远农村地区疾病的传播，提高了广大农民的健康水平保护了劳动力，从而促进农副业的发展。</w:t>
      </w:r>
    </w:p>
    <w:p w:rsidR="00211A6D" w:rsidRDefault="00211A6D">
      <w:pPr>
        <w:spacing w:line="360" w:lineRule="auto"/>
        <w:ind w:firstLine="640"/>
        <w:rPr>
          <w:rFonts w:ascii="黑体" w:eastAsia="黑体" w:hAnsi="黑体" w:cs="Times New Roman"/>
          <w:bCs/>
          <w:spacing w:val="-4"/>
          <w:sz w:val="32"/>
          <w:szCs w:val="32"/>
        </w:rPr>
      </w:pPr>
    </w:p>
    <w:p w:rsidR="00211A6D" w:rsidRDefault="00211A6D">
      <w:pPr>
        <w:spacing w:line="360" w:lineRule="auto"/>
        <w:ind w:firstLine="640"/>
        <w:rPr>
          <w:rFonts w:ascii="黑体" w:eastAsia="黑体" w:hAnsi="黑体" w:cs="Times New Roman"/>
          <w:bCs/>
          <w:spacing w:val="-4"/>
          <w:sz w:val="32"/>
          <w:szCs w:val="32"/>
        </w:rPr>
      </w:pPr>
    </w:p>
    <w:p w:rsidR="00211A6D" w:rsidRDefault="00565F9A">
      <w:pPr>
        <w:spacing w:line="360" w:lineRule="auto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lastRenderedPageBreak/>
        <w:t>二、项目资金使用及管理情况</w:t>
      </w:r>
    </w:p>
    <w:p w:rsidR="00211A6D" w:rsidRPr="00565F9A" w:rsidRDefault="00565F9A">
      <w:pPr>
        <w:spacing w:line="360" w:lineRule="auto"/>
        <w:ind w:firstLine="567"/>
        <w:rPr>
          <w:rFonts w:ascii="楷体_GB2312" w:eastAsia="楷体_GB2312" w:hAnsi="楷体" w:cs="Times New Roman"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（一</w:t>
      </w:r>
      <w:r w:rsidRPr="00565F9A"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）项目资金安排落实、总投入等情况分析</w:t>
      </w:r>
    </w:p>
    <w:p w:rsidR="00211A6D" w:rsidRPr="00565F9A" w:rsidRDefault="00565F9A">
      <w:pPr>
        <w:adjustRightInd w:val="0"/>
        <w:snapToGrid w:val="0"/>
        <w:spacing w:line="560" w:lineRule="exact"/>
        <w:ind w:firstLineChars="200" w:firstLine="624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</w:rPr>
        <w:t>2019年2月16日，泽普县扶贫开发领导小组办公室下发了泽扶贫领办字【2019】5号关于印发泽普县2019年度第一批财政涉农资金整合项目计划的通知和泽财预函【2019】10号文件及泽扶贫办字【2019】12号泽普县2019年第一批涉农资金统筹整合使用实施方案。资金来源：第一批财政涉农整合资金</w:t>
      </w:r>
      <w:r w:rsidRPr="00565F9A"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1475万元、上缴第一批</w:t>
      </w: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</w:rPr>
        <w:t>财政涉农整合资金</w:t>
      </w:r>
      <w:r w:rsidRPr="00565F9A"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130万元，自治区债券资金410万元。此项目实际到位资金</w:t>
      </w: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</w:rPr>
        <w:t>1755万元。截止2019年底累计完成投资1668.83万元。</w:t>
      </w:r>
    </w:p>
    <w:p w:rsidR="00211A6D" w:rsidRPr="00565F9A" w:rsidRDefault="00565F9A">
      <w:pPr>
        <w:spacing w:line="360" w:lineRule="auto"/>
        <w:ind w:firstLineChars="200" w:firstLine="627"/>
        <w:rPr>
          <w:rStyle w:val="a3"/>
          <w:rFonts w:ascii="楷体_GB2312" w:eastAsia="楷体_GB2312" w:hAnsi="楷体"/>
          <w:spacing w:val="-4"/>
          <w:sz w:val="32"/>
          <w:szCs w:val="32"/>
        </w:rPr>
      </w:pPr>
      <w:r w:rsidRPr="00565F9A">
        <w:rPr>
          <w:rStyle w:val="a3"/>
          <w:rFonts w:ascii="楷体_GB2312" w:eastAsia="楷体_GB2312" w:hAnsi="楷体" w:hint="eastAsia"/>
          <w:spacing w:val="-4"/>
          <w:sz w:val="32"/>
          <w:szCs w:val="32"/>
        </w:rPr>
        <w:t>（二）项目资金实际使用情况分析</w:t>
      </w:r>
    </w:p>
    <w:p w:rsidR="00211A6D" w:rsidRDefault="00565F9A">
      <w:pPr>
        <w:spacing w:line="360" w:lineRule="auto"/>
        <w:ind w:firstLine="567"/>
        <w:rPr>
          <w:rStyle w:val="a3"/>
          <w:rFonts w:ascii="仿宋_GB2312" w:eastAsia="仿宋_GB2312" w:hAnsi="仿宋"/>
          <w:b w:val="0"/>
          <w:color w:val="000000" w:themeColor="text1"/>
          <w:spacing w:val="-4"/>
          <w:sz w:val="32"/>
          <w:szCs w:val="32"/>
        </w:rPr>
      </w:pP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  <w:lang w:val="zh-CN"/>
        </w:rPr>
        <w:t>本项目实际支付资金</w:t>
      </w: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</w:rPr>
        <w:t>1668.83</w:t>
      </w:r>
      <w:r w:rsidRPr="00565F9A">
        <w:rPr>
          <w:rStyle w:val="a3"/>
          <w:rFonts w:ascii="仿宋" w:eastAsia="仿宋" w:hAnsi="仿宋" w:cs="Times New Roman" w:hint="eastAsia"/>
          <w:b w:val="0"/>
          <w:spacing w:val="-4"/>
          <w:sz w:val="32"/>
          <w:szCs w:val="32"/>
          <w:lang w:val="zh-CN"/>
        </w:rPr>
        <w:t>万元，其中：</w:t>
      </w:r>
      <w:r w:rsidRPr="00565F9A"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设计费49万元，检测费（二检）8.93万元，三检费6.30万元，监理费23万元，材料款906.84万元，工程款664.75万元，卫生检测费1.6万元，管材标段结算审核费3.73万元，施工标段结算审核费2.88万元，项目评审费1.80万元。</w:t>
      </w:r>
    </w:p>
    <w:p w:rsidR="00211A6D" w:rsidRDefault="00565F9A">
      <w:pPr>
        <w:spacing w:line="360" w:lineRule="auto"/>
        <w:ind w:firstLine="567"/>
        <w:rPr>
          <w:rFonts w:ascii="楷体_GB2312" w:eastAsia="楷体_GB2312" w:hAnsi="楷体" w:cs="Times New Roman"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（三）项目资金管理情况分析</w:t>
      </w:r>
    </w:p>
    <w:p w:rsidR="00211A6D" w:rsidRDefault="00565F9A">
      <w:pPr>
        <w:spacing w:line="360" w:lineRule="auto"/>
        <w:ind w:firstLine="567"/>
        <w:rPr>
          <w:rFonts w:ascii="仿宋_GB2312" w:eastAsia="仿宋_GB2312" w:hAnsi="仿宋" w:cs="Times New Roman"/>
          <w:bCs/>
          <w:spacing w:val="-4"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为规范扶贫资金的使用，根据扶贫办下发《扶贫资金管理规定》等相关文件精神，制定了《泽普县水利局财务管理规定》，在项目扶贫资金的使用中，落实专项专户，每笔资金使用报县扶贫领导小组审批，确保每笔资金有迹可循，账目清晰。</w:t>
      </w:r>
    </w:p>
    <w:p w:rsidR="00211A6D" w:rsidRDefault="00565F9A">
      <w:pPr>
        <w:spacing w:line="360" w:lineRule="auto"/>
        <w:ind w:firstLine="640"/>
        <w:rPr>
          <w:rFonts w:ascii="黑体" w:eastAsia="黑体" w:hAnsi="黑体" w:cs="Times New Roman"/>
          <w:bCs/>
          <w:spacing w:val="-4"/>
          <w:sz w:val="32"/>
          <w:szCs w:val="32"/>
        </w:rPr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t>三、项目组织实施情况</w:t>
      </w:r>
    </w:p>
    <w:p w:rsidR="00211A6D" w:rsidRDefault="00565F9A">
      <w:pPr>
        <w:spacing w:line="360" w:lineRule="auto"/>
        <w:ind w:firstLine="567"/>
        <w:rPr>
          <w:rFonts w:ascii="楷体_GB2312" w:eastAsia="楷体_GB2312" w:hAnsi="楷体" w:cs="Times New Roman"/>
          <w:b/>
          <w:bCs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（一）项目组织情况分析</w:t>
      </w:r>
    </w:p>
    <w:p w:rsidR="00211A6D" w:rsidRDefault="00565F9A">
      <w:pPr>
        <w:pStyle w:val="a4"/>
        <w:spacing w:line="360" w:lineRule="auto"/>
        <w:ind w:firstLineChars="0" w:firstLine="0"/>
        <w:jc w:val="left"/>
        <w:rPr>
          <w:rFonts w:ascii="仿宋_GB2312" w:eastAsia="仿宋_GB2312" w:hAnsi="仿宋" w:cs="Times New Roman"/>
          <w:bCs/>
          <w:spacing w:val="-4"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lastRenderedPageBreak/>
        <w:t>建   设   单  位：泽普县农村饮水安全工程管理站</w:t>
      </w:r>
    </w:p>
    <w:p w:rsidR="00211A6D" w:rsidRDefault="00565F9A">
      <w:pPr>
        <w:pStyle w:val="a4"/>
        <w:spacing w:line="360" w:lineRule="auto"/>
        <w:ind w:firstLineChars="0" w:firstLine="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设计单位：喀什地区水利水电勘测设计院</w:t>
      </w:r>
    </w:p>
    <w:p w:rsidR="00211A6D" w:rsidRDefault="00565F9A">
      <w:pPr>
        <w:pStyle w:val="a4"/>
        <w:spacing w:line="360" w:lineRule="auto"/>
        <w:ind w:firstLineChars="0" w:firstLine="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质 量 监 督单位：泽普县水利工程质量监督站</w:t>
      </w:r>
    </w:p>
    <w:p w:rsidR="00211A6D" w:rsidRDefault="00565F9A">
      <w:pPr>
        <w:adjustRightInd w:val="0"/>
        <w:snapToGrid w:val="0"/>
        <w:spacing w:line="360" w:lineRule="auto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监   理   单  位：新疆塔河源绿州工程建设管理有限公司</w:t>
      </w:r>
    </w:p>
    <w:p w:rsidR="00211A6D" w:rsidRDefault="00565F9A">
      <w:pPr>
        <w:adjustRightInd w:val="0"/>
        <w:snapToGrid w:val="0"/>
        <w:spacing w:line="360" w:lineRule="auto"/>
        <w:ind w:rightChars="-39" w:right="-82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管材采购第一标段：新疆锦鑫添方管业科技有限公司</w:t>
      </w:r>
    </w:p>
    <w:p w:rsidR="00211A6D" w:rsidRDefault="00565F9A">
      <w:pPr>
        <w:adjustRightInd w:val="0"/>
        <w:snapToGrid w:val="0"/>
        <w:spacing w:line="360" w:lineRule="auto"/>
        <w:ind w:rightChars="-39" w:right="-82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施   工   标  段：淄博市黄河工程局</w:t>
      </w:r>
    </w:p>
    <w:p w:rsidR="00211A6D" w:rsidRDefault="00565F9A">
      <w:pPr>
        <w:adjustRightInd w:val="0"/>
        <w:snapToGrid w:val="0"/>
        <w:spacing w:line="360" w:lineRule="auto"/>
        <w:ind w:rightChars="-39" w:right="-82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检   测   单  位：喀什锦源水利水电工程有限责任公司</w:t>
      </w:r>
    </w:p>
    <w:p w:rsidR="00211A6D" w:rsidRDefault="00565F9A">
      <w:pPr>
        <w:spacing w:line="360" w:lineRule="auto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三   检   单  位：喀什和鑫工程检测有限公司</w:t>
      </w:r>
    </w:p>
    <w:p w:rsidR="00211A6D" w:rsidRDefault="00565F9A">
      <w:pPr>
        <w:spacing w:line="360" w:lineRule="auto"/>
        <w:jc w:val="left"/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卫   生   检  测：新疆维吾尔自治区分析测试研究院</w:t>
      </w:r>
    </w:p>
    <w:p w:rsidR="00211A6D" w:rsidRDefault="00565F9A">
      <w:pPr>
        <w:numPr>
          <w:ilvl w:val="0"/>
          <w:numId w:val="2"/>
        </w:numPr>
        <w:spacing w:line="360" w:lineRule="auto"/>
        <w:ind w:firstLine="567"/>
        <w:rPr>
          <w:rStyle w:val="a3"/>
          <w:rFonts w:ascii="楷体_GB2312" w:eastAsia="楷体_GB2312" w:hAnsi="楷体"/>
          <w:spacing w:val="-4"/>
          <w:sz w:val="32"/>
          <w:szCs w:val="32"/>
        </w:rPr>
      </w:pPr>
      <w:r>
        <w:rPr>
          <w:rStyle w:val="a3"/>
          <w:rFonts w:ascii="楷体_GB2312" w:eastAsia="楷体_GB2312" w:hAnsi="楷体" w:hint="eastAsia"/>
          <w:spacing w:val="-4"/>
          <w:sz w:val="32"/>
          <w:szCs w:val="32"/>
        </w:rPr>
        <w:t>项目管理情况分析</w:t>
      </w:r>
    </w:p>
    <w:p w:rsidR="00211A6D" w:rsidRDefault="00565F9A">
      <w:pPr>
        <w:spacing w:line="360" w:lineRule="auto"/>
        <w:ind w:firstLine="567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根据扶贫项目管理办法等相关文件精神,为确保泽普县农村饮水安全巩固提升工程稳步实施，泽普县水利局成立了扶贫项目管理小组，成员如下：</w:t>
      </w:r>
    </w:p>
    <w:p w:rsidR="00211A6D" w:rsidRDefault="00565F9A">
      <w:pPr>
        <w:spacing w:line="360" w:lineRule="auto"/>
        <w:ind w:firstLine="567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组长：艾合买提</w:t>
      </w:r>
      <w:r>
        <w:rPr>
          <w:rFonts w:ascii="宋体" w:eastAsia="宋体" w:hAnsi="宋体" w:cs="宋体"/>
          <w:sz w:val="24"/>
        </w:rPr>
        <w:t>•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艾海提水利局党委副书记、局长</w:t>
      </w:r>
    </w:p>
    <w:p w:rsidR="00211A6D" w:rsidRDefault="00565F9A">
      <w:pPr>
        <w:spacing w:line="360" w:lineRule="auto"/>
        <w:ind w:firstLineChars="200" w:firstLine="624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副组长：</w:t>
      </w:r>
    </w:p>
    <w:p w:rsidR="00211A6D" w:rsidRDefault="00565F9A">
      <w:pPr>
        <w:spacing w:line="360" w:lineRule="auto"/>
        <w:ind w:firstLineChars="600" w:firstLine="1872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罗佩（泽普县农村饮水安全工程管理站支部书记）</w:t>
      </w:r>
    </w:p>
    <w:p w:rsidR="00211A6D" w:rsidRDefault="00565F9A">
      <w:pPr>
        <w:spacing w:line="360" w:lineRule="auto"/>
        <w:ind w:firstLine="567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        木塔力甫</w:t>
      </w:r>
      <w:bookmarkStart w:id="0" w:name="_GoBack"/>
      <w:bookmarkEnd w:id="0"/>
      <w:r>
        <w:rPr>
          <w:rFonts w:ascii="宋体" w:eastAsia="宋体" w:hAnsi="宋体" w:cs="宋体"/>
          <w:sz w:val="24"/>
        </w:rPr>
        <w:t>•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托合提（泽普县农村饮水安全工程管理站站长）</w:t>
      </w:r>
    </w:p>
    <w:p w:rsidR="00211A6D" w:rsidRDefault="00565F9A">
      <w:pPr>
        <w:spacing w:line="360" w:lineRule="auto"/>
        <w:ind w:firstLine="567"/>
        <w:rPr>
          <w:rStyle w:val="a3"/>
          <w:rFonts w:ascii="仿宋_GB2312" w:eastAsia="仿宋_GB2312" w:hAnsi="仿宋"/>
          <w:b w:val="0"/>
          <w:spacing w:val="-4"/>
          <w:sz w:val="32"/>
          <w:szCs w:val="32"/>
        </w:rPr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组员：阿地力江</w:t>
      </w:r>
      <w:r>
        <w:rPr>
          <w:rFonts w:ascii="宋体" w:eastAsia="宋体" w:hAnsi="宋体" w:cs="宋体"/>
          <w:sz w:val="24"/>
        </w:rPr>
        <w:t>•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努尔买提（泽普县农村饮水安全工程管理站副站长）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600" w:firstLine="1872"/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崔颖</w:t>
      </w:r>
      <w:r>
        <w:rPr>
          <w:rFonts w:ascii="仿宋_GB2312" w:eastAsia="仿宋_GB2312" w:hint="eastAsia"/>
          <w:spacing w:val="-4"/>
          <w:sz w:val="32"/>
          <w:szCs w:val="32"/>
        </w:rPr>
        <w:t>（财务室会计）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600" w:firstLine="1872"/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巴哈尔古丽</w:t>
      </w:r>
      <w:r>
        <w:rPr>
          <w:rFonts w:ascii="宋体" w:eastAsia="宋体" w:hAnsi="宋体" w:cs="宋体"/>
          <w:sz w:val="24"/>
        </w:rPr>
        <w:t>•</w:t>
      </w: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阿不来提 </w:t>
      </w:r>
      <w:r>
        <w:rPr>
          <w:rFonts w:ascii="仿宋_GB2312" w:eastAsia="仿宋_GB2312" w:hint="eastAsia"/>
          <w:spacing w:val="-4"/>
          <w:sz w:val="32"/>
          <w:szCs w:val="32"/>
        </w:rPr>
        <w:t>（财务室出纳）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按照工程建设基本程序，以“建设单位负责、监理单位控制、施工单位保证、政府部门监督”的要求，建立了四级质量保证体系，做到了建设单位质量检查体系，监理单位质量控制体系，政府部门质量监督体系，施工单位质量保证体系。施工质量是施工管理的中心内容，为了确保项目建设正常有序，保质保量的进行，实行监理报验制度，对重要隐蔽工程或为关键部位单元工程，重要分部工程实行联合验收，对工程工艺、技术进行了全过程控制，确保工程质量。监督部门经常定期或不定期到工地进行检查，对存在的问题及时进行指导纠正，保证了工程的建设质量。</w:t>
      </w:r>
    </w:p>
    <w:p w:rsidR="00211A6D" w:rsidRDefault="00565F9A">
      <w:pPr>
        <w:spacing w:line="360" w:lineRule="auto"/>
        <w:ind w:firstLine="640"/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t xml:space="preserve">四、项目绩效情况 </w:t>
      </w:r>
    </w:p>
    <w:p w:rsidR="00211A6D" w:rsidRDefault="00565F9A">
      <w:pPr>
        <w:numPr>
          <w:ilvl w:val="0"/>
          <w:numId w:val="3"/>
        </w:numPr>
        <w:spacing w:line="360" w:lineRule="auto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项目绩效目标完成情况分析</w:t>
      </w:r>
    </w:p>
    <w:p w:rsidR="00211A6D" w:rsidRDefault="00565F9A">
      <w:pPr>
        <w:adjustRightInd w:val="0"/>
        <w:snapToGrid w:val="0"/>
        <w:spacing w:line="360" w:lineRule="auto"/>
        <w:ind w:firstLineChars="200" w:firstLine="624"/>
        <w:rPr>
          <w:rFonts w:ascii="仿宋" w:eastAsia="仿宋" w:hAnsi="仿宋" w:cs="Times New Roman"/>
          <w:bCs/>
          <w:spacing w:val="-4"/>
          <w:sz w:val="32"/>
          <w:szCs w:val="32"/>
        </w:rPr>
      </w:pPr>
      <w:r>
        <w:rPr>
          <w:rFonts w:ascii="仿宋" w:eastAsia="仿宋" w:hAnsi="仿宋" w:cs="Times New Roman" w:hint="eastAsia"/>
          <w:bCs/>
          <w:spacing w:val="-4"/>
          <w:sz w:val="32"/>
          <w:szCs w:val="32"/>
        </w:rPr>
        <w:t>项目共设置一级指标3个，二级指标9个，三级指标14个，指标完成率为100%。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项目完成指标：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1、数量指标管道长度，该指标标杆值为177.771米、实际完成值</w:t>
      </w:r>
      <w:r>
        <w:rPr>
          <w:rFonts w:ascii="仿宋_GB2312" w:eastAsia="仿宋_GB2312" w:hint="eastAsia"/>
          <w:color w:val="0000FF"/>
          <w:sz w:val="32"/>
          <w:szCs w:val="32"/>
        </w:rPr>
        <w:t>178.690</w:t>
      </w:r>
      <w:r>
        <w:rPr>
          <w:rFonts w:ascii="仿宋_GB2312" w:eastAsia="仿宋_GB2312" w:hint="eastAsia"/>
          <w:sz w:val="32"/>
          <w:szCs w:val="32"/>
        </w:rPr>
        <w:t>米。受益范围该指标标杆值为10个乡、2个场、1个镇、实际完成值13。覆盖人口数该指标标杆值为≥36747人、实际完成值36747人。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质量指标</w:t>
      </w:r>
      <w:r>
        <w:rPr>
          <w:rFonts w:ascii="仿宋_GB2312" w:eastAsia="仿宋_GB2312" w:hint="eastAsia"/>
          <w:sz w:val="32"/>
          <w:szCs w:val="32"/>
        </w:rPr>
        <w:t>，工程验收合格率该指标标杆值为100%、实际完成值100%。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3、时效指标，项目开工时间指标该指标标杆值为2019</w:t>
      </w:r>
      <w:r>
        <w:rPr>
          <w:rFonts w:ascii="仿宋_GB2312" w:eastAsia="仿宋_GB2312" w:hint="eastAsia"/>
          <w:sz w:val="32"/>
          <w:szCs w:val="32"/>
        </w:rPr>
        <w:lastRenderedPageBreak/>
        <w:t>年4月5日、实际完成值2019年4月6日。项目完工时间指标该指标标杆值为</w:t>
      </w:r>
      <w:r>
        <w:rPr>
          <w:rFonts w:ascii="仿宋_GB2312" w:eastAsia="仿宋_GB2312" w:hint="eastAsia"/>
          <w:color w:val="FF0000"/>
          <w:sz w:val="32"/>
          <w:szCs w:val="32"/>
        </w:rPr>
        <w:t>2019年09月30日、</w:t>
      </w:r>
      <w:r>
        <w:rPr>
          <w:rFonts w:ascii="仿宋_GB2312" w:eastAsia="仿宋_GB2312" w:hint="eastAsia"/>
          <w:sz w:val="32"/>
          <w:szCs w:val="32"/>
        </w:rPr>
        <w:t>实际完成值2019年09月30日。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4、成本指标，采购给水管材该指标标杆值为≤1000万元、实际完成值906.8410万元。施工与安装费用该指标标杆值为≤755万元、实际完成值664.749094万元。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5、项目效果指标：经济效益降低全线管网漏损率该指标标杆</w:t>
      </w:r>
      <w:r>
        <w:rPr>
          <w:rFonts w:ascii="仿宋_GB2312" w:eastAsia="仿宋_GB2312" w:hint="eastAsia"/>
          <w:color w:val="FF0000"/>
          <w:sz w:val="32"/>
          <w:szCs w:val="32"/>
        </w:rPr>
        <w:t>值为≥8%、实际完成值8%。</w:t>
      </w:r>
      <w:r>
        <w:rPr>
          <w:rFonts w:ascii="仿宋_GB2312" w:eastAsia="仿宋_GB2312" w:hint="eastAsia"/>
          <w:sz w:val="32"/>
          <w:szCs w:val="32"/>
        </w:rPr>
        <w:t>减少用户因漏损而增加的支出该指标标杆值为有效、实际完成值有效。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6、社会效益：解决群众安全用水问题该指标标杆值为显著、实际完成值显著。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7、生态效益水质达标率该指标标杆值为≥95%、实际完</w:t>
      </w:r>
      <w:r>
        <w:rPr>
          <w:rFonts w:ascii="仿宋_GB2312" w:eastAsia="仿宋_GB2312" w:hint="eastAsia"/>
          <w:color w:val="5B9BD5" w:themeColor="accent1"/>
          <w:sz w:val="32"/>
          <w:szCs w:val="32"/>
        </w:rPr>
        <w:t>成值100%。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8、可持续影响：工程（人饮）使用年限（年）该指标标杆值为≥25年、实际完成值25年。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</w:t>
      </w:r>
      <w:r>
        <w:rPr>
          <w:rFonts w:ascii="仿宋_GB2312" w:eastAsia="仿宋_GB2312"/>
          <w:sz w:val="32"/>
          <w:szCs w:val="32"/>
        </w:rPr>
        <w:t>满意度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211A6D" w:rsidRDefault="00565F9A">
      <w:pPr>
        <w:adjustRightInd w:val="0"/>
        <w:snapToGrid w:val="0"/>
        <w:spacing w:line="360" w:lineRule="auto"/>
        <w:ind w:rightChars="-39" w:right="-82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群众满意度指标标杆值为≥97%、实际完成值100%。</w:t>
      </w:r>
    </w:p>
    <w:p w:rsidR="00211A6D" w:rsidRDefault="00565F9A">
      <w:pPr>
        <w:spacing w:line="360" w:lineRule="auto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（二）项目绩效目标未完成原因分析</w:t>
      </w:r>
    </w:p>
    <w:p w:rsidR="00211A6D" w:rsidRDefault="00565F9A">
      <w:pPr>
        <w:spacing w:line="360" w:lineRule="auto"/>
        <w:rPr>
          <w:rFonts w:ascii="仿宋_GB2312" w:eastAsia="仿宋_GB2312" w:hAnsi="Calibri" w:cs="Times New Roman"/>
          <w:spacing w:val="-4"/>
          <w:sz w:val="32"/>
          <w:szCs w:val="32"/>
        </w:rPr>
      </w:pPr>
      <w:r>
        <w:rPr>
          <w:rFonts w:ascii="仿宋_GB2312" w:eastAsia="仿宋_GB2312" w:hAnsi="Calibri" w:cs="Times New Roman" w:hint="eastAsia"/>
          <w:spacing w:val="-4"/>
          <w:sz w:val="32"/>
          <w:szCs w:val="32"/>
        </w:rPr>
        <w:t>无</w:t>
      </w:r>
    </w:p>
    <w:p w:rsidR="00211A6D" w:rsidRDefault="00565F9A">
      <w:pPr>
        <w:spacing w:line="360" w:lineRule="auto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t>五、其他需要说明的问题</w:t>
      </w:r>
    </w:p>
    <w:p w:rsidR="00211A6D" w:rsidRDefault="00565F9A">
      <w:pPr>
        <w:spacing w:line="360" w:lineRule="auto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（一）后续工作计划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 w:hAnsi="Calibri" w:cs="Times New Roman"/>
          <w:color w:val="FF0000"/>
          <w:spacing w:val="-4"/>
          <w:sz w:val="32"/>
          <w:szCs w:val="32"/>
        </w:rPr>
      </w:pPr>
      <w:r>
        <w:rPr>
          <w:rFonts w:ascii="仿宋_GB2312" w:eastAsia="仿宋_GB2312" w:hAnsi="Calibri" w:cs="Times New Roman" w:hint="eastAsia"/>
          <w:spacing w:val="-4"/>
          <w:sz w:val="32"/>
          <w:szCs w:val="32"/>
        </w:rPr>
        <w:t>该项目投入运行，竣工验收后委托第三方中介做资产评估，</w:t>
      </w:r>
      <w:r>
        <w:rPr>
          <w:rFonts w:ascii="仿宋_GB2312" w:eastAsia="仿宋_GB2312" w:hAnsi="Calibri" w:cs="Times New Roman" w:hint="eastAsia"/>
          <w:spacing w:val="-4"/>
          <w:sz w:val="32"/>
          <w:szCs w:val="32"/>
        </w:rPr>
        <w:lastRenderedPageBreak/>
        <w:t>并将该资产移交给泽普县农村饮水安全工程管理站入账。</w:t>
      </w:r>
    </w:p>
    <w:p w:rsidR="00211A6D" w:rsidRDefault="00565F9A">
      <w:pPr>
        <w:numPr>
          <w:ilvl w:val="0"/>
          <w:numId w:val="4"/>
        </w:numPr>
        <w:spacing w:line="360" w:lineRule="auto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主要经验及做法、存在问题和建议</w:t>
      </w:r>
    </w:p>
    <w:p w:rsidR="00211A6D" w:rsidRDefault="00565F9A">
      <w:pPr>
        <w:spacing w:line="360" w:lineRule="auto"/>
        <w:ind w:leftChars="200" w:left="420" w:firstLineChars="100" w:firstLine="32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1、项目申报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实施项目统筹安排，提前定计划。确定当年建设项目实施重点，资金到位后及时开工，控制工程成本，严把工程质量，稳步推进，确保按期完成。</w:t>
      </w:r>
    </w:p>
    <w:p w:rsidR="00211A6D" w:rsidRDefault="00565F9A">
      <w:pPr>
        <w:spacing w:line="360" w:lineRule="auto"/>
        <w:ind w:leftChars="200" w:left="420" w:firstLineChars="100" w:firstLine="32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2、</w:t>
      </w:r>
      <w:r>
        <w:rPr>
          <w:rFonts w:ascii="仿宋_GB2312" w:eastAsia="仿宋_GB2312" w:hAnsi="仿宋_GB2312" w:cs="Times New Roman"/>
          <w:color w:val="000000"/>
          <w:sz w:val="32"/>
        </w:rPr>
        <w:t>科学设计，灵活把握技术标准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在实施项目的设计中，按照用地制宜、实事求是的原则，结合项目所在地的地理条件，分类确定技术标准和建设重点，合理把握建设规模，控制工程造价。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3、严格执行工程招投标制度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严格按照《中华人民共和国招投标法》《中华人民共和国建筑法》的规定，对限额以上依法需要招标的项目严格执行招投标制度，严格按照建设程序推动项目进行。</w:t>
      </w:r>
    </w:p>
    <w:p w:rsidR="00211A6D" w:rsidRDefault="00565F9A">
      <w:pPr>
        <w:numPr>
          <w:ilvl w:val="0"/>
          <w:numId w:val="5"/>
        </w:num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加大工程质量监管力度</w:t>
      </w:r>
    </w:p>
    <w:p w:rsidR="00211A6D" w:rsidRDefault="00565F9A">
      <w:pPr>
        <w:spacing w:line="360" w:lineRule="auto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 xml:space="preserve">    严格按照建筑工程管理、扶贫项目管理有关规定，落实项目主体责任制、落实项目监理制度，严把工程质量、安全。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Times New Roman"/>
          <w:color w:val="000000"/>
          <w:sz w:val="32"/>
        </w:rPr>
      </w:pPr>
      <w:r>
        <w:rPr>
          <w:rFonts w:ascii="仿宋_GB2312" w:eastAsia="仿宋_GB2312" w:hAnsi="仿宋_GB2312" w:cs="Times New Roman" w:hint="eastAsia"/>
          <w:color w:val="000000"/>
          <w:sz w:val="32"/>
        </w:rPr>
        <w:t>5、加强宣传，加大政策解读</w:t>
      </w:r>
    </w:p>
    <w:p w:rsidR="00211A6D" w:rsidRDefault="00565F9A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加强对扶贫项目涉及居民的宣传。严格按照上级下发的政策性文件，通过周一升国旗、周四大宣讲、包户入户等活动对居民进行宣传，通过深入宣传与动员，从而提高乡村农户参与扶贫工程的积极性。</w:t>
      </w:r>
    </w:p>
    <w:p w:rsidR="00211A6D" w:rsidRDefault="00565F9A">
      <w:pPr>
        <w:spacing w:line="360" w:lineRule="auto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lastRenderedPageBreak/>
        <w:t>（三）其他</w:t>
      </w:r>
    </w:p>
    <w:p w:rsidR="00211A6D" w:rsidRDefault="00565F9A" w:rsidP="00211A6D">
      <w:pPr>
        <w:spacing w:line="360" w:lineRule="auto"/>
        <w:ind w:firstLineChars="181" w:firstLine="565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spacing w:val="-4"/>
          <w:sz w:val="32"/>
          <w:szCs w:val="32"/>
        </w:rPr>
        <w:t>无</w:t>
      </w:r>
    </w:p>
    <w:p w:rsidR="00211A6D" w:rsidRDefault="00565F9A">
      <w:pPr>
        <w:numPr>
          <w:ilvl w:val="0"/>
          <w:numId w:val="6"/>
        </w:numPr>
        <w:spacing w:line="360" w:lineRule="auto"/>
        <w:ind w:firstLine="640"/>
        <w:rPr>
          <w:rStyle w:val="a3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3"/>
          <w:rFonts w:ascii="黑体" w:eastAsia="黑体" w:hAnsi="黑体" w:hint="eastAsia"/>
          <w:b w:val="0"/>
          <w:spacing w:val="-4"/>
          <w:sz w:val="32"/>
          <w:szCs w:val="32"/>
        </w:rPr>
        <w:t>项目评价工作情况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为了增强项目支出责任，提升项目管理水平，提高财政资金使用效益，按照上级部署和文件要求、立即组织人员召开会议，传达文件精神，安排对我县2019年度水利扶贫资金从项目决策、项目管理、产出指标效益指标、满意度指标进行打分，同时组织水利局相关部门开展工作绩效考核评估。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组织过程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考核评估小组按照2019扶贫项目年度绩效自评报告参考提纲，积极协调建管、水管、财务等部门，明确了各部门职责开展自评。召集参建施工单位，监理单位及设计部门开展我县水利工程自验，并对项目建设存在的问题进行整改。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分析评价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泽普县农村饮水安全巩固提升工程（供水总厂）二期项目按照绩效目标自评表从总体目标、绩效指标（产出指标、效益指标、满意度指标）等方面进行分析评价，我单位项目资金使用、管理完全符合《喀什地区扶贫资金管理办法》，合理合规。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通过项目实施及效益分析。项目总体评价为优秀级。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项目现场勘查检查核实情况：</w:t>
      </w:r>
    </w:p>
    <w:p w:rsidR="00211A6D" w:rsidRDefault="00565F9A">
      <w:pPr>
        <w:spacing w:line="360" w:lineRule="auto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确保用水户喝上安全饮水，使他们掌握一技之长，为他们实现就近就业、提高自身发展能力、改善生活水平提供保障。</w:t>
      </w:r>
    </w:p>
    <w:p w:rsidR="00211A6D" w:rsidRDefault="00565F9A">
      <w:pPr>
        <w:spacing w:line="360" w:lineRule="auto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（包括评价基础数据收集、资料来源和依据等佐证材料情况，项目现场勘验检查核实等情况）</w:t>
      </w:r>
    </w:p>
    <w:p w:rsidR="00211A6D" w:rsidRDefault="00565F9A">
      <w:pPr>
        <w:spacing w:line="360" w:lineRule="auto"/>
        <w:ind w:firstLine="640"/>
        <w:rPr>
          <w:rStyle w:val="a3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3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211A6D" w:rsidRDefault="00565F9A">
      <w:pPr>
        <w:spacing w:line="360" w:lineRule="auto"/>
        <w:ind w:firstLine="567"/>
      </w:pPr>
      <w:r>
        <w:rPr>
          <w:rStyle w:val="a3"/>
          <w:rFonts w:ascii="仿宋_GB2312" w:eastAsia="仿宋_GB2312" w:hAnsi="仿宋" w:hint="eastAsia"/>
          <w:b w:val="0"/>
          <w:spacing w:val="-4"/>
          <w:sz w:val="32"/>
          <w:szCs w:val="32"/>
        </w:rPr>
        <w:t>《自治区项目支出绩效自评表》</w:t>
      </w:r>
    </w:p>
    <w:sectPr w:rsidR="00211A6D" w:rsidSect="00211A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7C7" w:rsidRDefault="00AA37C7" w:rsidP="00565F9A">
      <w:r>
        <w:separator/>
      </w:r>
    </w:p>
  </w:endnote>
  <w:endnote w:type="continuationSeparator" w:id="1">
    <w:p w:rsidR="00AA37C7" w:rsidRDefault="00AA37C7" w:rsidP="00565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7C7" w:rsidRDefault="00AA37C7" w:rsidP="00565F9A">
      <w:r>
        <w:separator/>
      </w:r>
    </w:p>
  </w:footnote>
  <w:footnote w:type="continuationSeparator" w:id="1">
    <w:p w:rsidR="00AA37C7" w:rsidRDefault="00AA37C7" w:rsidP="00565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95AFFC"/>
    <w:multiLevelType w:val="singleLevel"/>
    <w:tmpl w:val="A995AFF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EF6437C"/>
    <w:multiLevelType w:val="singleLevel"/>
    <w:tmpl w:val="AEF6437C"/>
    <w:lvl w:ilvl="0">
      <w:start w:val="5"/>
      <w:numFmt w:val="decimal"/>
      <w:suff w:val="nothing"/>
      <w:lvlText w:val="%1、"/>
      <w:lvlJc w:val="left"/>
    </w:lvl>
  </w:abstractNum>
  <w:abstractNum w:abstractNumId="2">
    <w:nsid w:val="CB51555C"/>
    <w:multiLevelType w:val="singleLevel"/>
    <w:tmpl w:val="CB51555C"/>
    <w:lvl w:ilvl="0">
      <w:start w:val="4"/>
      <w:numFmt w:val="decimal"/>
      <w:suff w:val="nothing"/>
      <w:lvlText w:val="%1、"/>
      <w:lvlJc w:val="left"/>
    </w:lvl>
  </w:abstractNum>
  <w:abstractNum w:abstractNumId="3">
    <w:nsid w:val="E4C2481E"/>
    <w:multiLevelType w:val="singleLevel"/>
    <w:tmpl w:val="E4C2481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EB2A2DB1"/>
    <w:multiLevelType w:val="singleLevel"/>
    <w:tmpl w:val="EB2A2DB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B5C430C"/>
    <w:multiLevelType w:val="singleLevel"/>
    <w:tmpl w:val="6B5C430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6DC1BB5"/>
    <w:rsid w:val="00211A6D"/>
    <w:rsid w:val="00565F9A"/>
    <w:rsid w:val="00864A99"/>
    <w:rsid w:val="00AA37C7"/>
    <w:rsid w:val="00E0445A"/>
    <w:rsid w:val="0134240C"/>
    <w:rsid w:val="03DC73C4"/>
    <w:rsid w:val="0409604E"/>
    <w:rsid w:val="05F94F36"/>
    <w:rsid w:val="060F75E8"/>
    <w:rsid w:val="0801665E"/>
    <w:rsid w:val="08F1725C"/>
    <w:rsid w:val="0AFC0755"/>
    <w:rsid w:val="0B5B328F"/>
    <w:rsid w:val="0D62503B"/>
    <w:rsid w:val="0E8F25CF"/>
    <w:rsid w:val="0EBC1F16"/>
    <w:rsid w:val="10D7240B"/>
    <w:rsid w:val="13540864"/>
    <w:rsid w:val="16A14DB9"/>
    <w:rsid w:val="1705317A"/>
    <w:rsid w:val="197101F5"/>
    <w:rsid w:val="1C21743D"/>
    <w:rsid w:val="1D637F70"/>
    <w:rsid w:val="1D9D6FEF"/>
    <w:rsid w:val="1E502ACB"/>
    <w:rsid w:val="1F762E8A"/>
    <w:rsid w:val="205477E5"/>
    <w:rsid w:val="20CF3C24"/>
    <w:rsid w:val="210B5D00"/>
    <w:rsid w:val="229C749E"/>
    <w:rsid w:val="255434DD"/>
    <w:rsid w:val="25C731BF"/>
    <w:rsid w:val="25EE61C1"/>
    <w:rsid w:val="25F64CB7"/>
    <w:rsid w:val="26CE5EB7"/>
    <w:rsid w:val="295B76FB"/>
    <w:rsid w:val="2B730BB0"/>
    <w:rsid w:val="2C4761A2"/>
    <w:rsid w:val="2CD1603E"/>
    <w:rsid w:val="2E3A7A11"/>
    <w:rsid w:val="30802185"/>
    <w:rsid w:val="31324307"/>
    <w:rsid w:val="31604698"/>
    <w:rsid w:val="373717E9"/>
    <w:rsid w:val="38027F9F"/>
    <w:rsid w:val="39F01AD4"/>
    <w:rsid w:val="3B84507C"/>
    <w:rsid w:val="3D3B3E50"/>
    <w:rsid w:val="3D401FC6"/>
    <w:rsid w:val="3E257354"/>
    <w:rsid w:val="3E6B4BD3"/>
    <w:rsid w:val="40427E07"/>
    <w:rsid w:val="414A32CD"/>
    <w:rsid w:val="41542562"/>
    <w:rsid w:val="432C04BF"/>
    <w:rsid w:val="43A74C12"/>
    <w:rsid w:val="477677A1"/>
    <w:rsid w:val="47DB3849"/>
    <w:rsid w:val="49DC7AB5"/>
    <w:rsid w:val="4AB14FB4"/>
    <w:rsid w:val="4B617967"/>
    <w:rsid w:val="4CFE3BF1"/>
    <w:rsid w:val="4D00663B"/>
    <w:rsid w:val="4DA21F64"/>
    <w:rsid w:val="4E7D6AF8"/>
    <w:rsid w:val="4F871225"/>
    <w:rsid w:val="4F9A4A48"/>
    <w:rsid w:val="51933E78"/>
    <w:rsid w:val="54691817"/>
    <w:rsid w:val="56B54F6A"/>
    <w:rsid w:val="56DC1BB5"/>
    <w:rsid w:val="58770653"/>
    <w:rsid w:val="591E081E"/>
    <w:rsid w:val="59634C55"/>
    <w:rsid w:val="5A7F0BC9"/>
    <w:rsid w:val="5AFE05C2"/>
    <w:rsid w:val="5BFF6AB5"/>
    <w:rsid w:val="5D440C66"/>
    <w:rsid w:val="5D7D5086"/>
    <w:rsid w:val="5DCD7383"/>
    <w:rsid w:val="5E163307"/>
    <w:rsid w:val="5E6C4BE0"/>
    <w:rsid w:val="5F2D22D8"/>
    <w:rsid w:val="60781FA5"/>
    <w:rsid w:val="61136BFB"/>
    <w:rsid w:val="62D95B80"/>
    <w:rsid w:val="632D7280"/>
    <w:rsid w:val="63975252"/>
    <w:rsid w:val="63A64FBF"/>
    <w:rsid w:val="64DB2498"/>
    <w:rsid w:val="665B7A57"/>
    <w:rsid w:val="67052AC2"/>
    <w:rsid w:val="699865B6"/>
    <w:rsid w:val="6A8851F1"/>
    <w:rsid w:val="6A8D1FC2"/>
    <w:rsid w:val="6AA25BA9"/>
    <w:rsid w:val="6B3A2402"/>
    <w:rsid w:val="6C460CD4"/>
    <w:rsid w:val="6E005889"/>
    <w:rsid w:val="6E1C72C4"/>
    <w:rsid w:val="6E240635"/>
    <w:rsid w:val="728E746F"/>
    <w:rsid w:val="72B65C4F"/>
    <w:rsid w:val="73953F2C"/>
    <w:rsid w:val="739562B5"/>
    <w:rsid w:val="73D85098"/>
    <w:rsid w:val="749E4F6B"/>
    <w:rsid w:val="75E156A3"/>
    <w:rsid w:val="761B273A"/>
    <w:rsid w:val="77011861"/>
    <w:rsid w:val="777D6412"/>
    <w:rsid w:val="79A84353"/>
    <w:rsid w:val="7C8D7EB1"/>
    <w:rsid w:val="7DFB16B7"/>
    <w:rsid w:val="7E753A90"/>
    <w:rsid w:val="7ECD7D08"/>
    <w:rsid w:val="7EE04B54"/>
    <w:rsid w:val="7F00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211A6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rsid w:val="00211A6D"/>
    <w:pPr>
      <w:keepNext/>
      <w:widowControl/>
      <w:spacing w:before="240" w:after="60"/>
      <w:jc w:val="left"/>
      <w:outlineLvl w:val="1"/>
    </w:pPr>
    <w:rPr>
      <w:rFonts w:ascii="Cambria" w:eastAsia="宋体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qFormat/>
    <w:rsid w:val="00211A6D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11A6D"/>
    <w:rPr>
      <w:b/>
      <w:bCs/>
    </w:rPr>
  </w:style>
  <w:style w:type="paragraph" w:styleId="a4">
    <w:name w:val="List Paragraph"/>
    <w:basedOn w:val="a"/>
    <w:uiPriority w:val="34"/>
    <w:qFormat/>
    <w:rsid w:val="00211A6D"/>
    <w:pPr>
      <w:ind w:firstLineChars="200" w:firstLine="420"/>
    </w:pPr>
  </w:style>
  <w:style w:type="paragraph" w:customStyle="1" w:styleId="Default">
    <w:name w:val="Default"/>
    <w:qFormat/>
    <w:rsid w:val="00211A6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header"/>
    <w:basedOn w:val="a"/>
    <w:link w:val="Char"/>
    <w:rsid w:val="00565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5F9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565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5F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cp:lastPrinted>2020-06-03T05:59:00Z</cp:lastPrinted>
  <dcterms:created xsi:type="dcterms:W3CDTF">2019-11-02T03:29:00Z</dcterms:created>
  <dcterms:modified xsi:type="dcterms:W3CDTF">2020-06-03T06:00:00Z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