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新疆喀什地区泽普县城乡综合执法局2019年度部门决算公开说明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１、依据相关法律法规对城乡规划区内的建设用地和建设行为进行监察；２、对城市道路施工、建筑占道、挖掘、管养以及损坏桥涵、排水设施等方面的行为进行监察；３、对城市供气、供热、公共交通设施等方面进行监察；４、对损坏城市公共绿地、花草、树木、城市绿化设施以及城市园林设施等违法行为进行监察；５、对风景名胜区的规划、建设、管理等违法行为进行监察；６、对住宅建设、房地产开发经营进行监察；７、依据建筑市场、工程招投标、工程建设、建设监理、勘察设计、建筑工程质量安全、标准定额等方面的法律法规和规章进行监察；８、参与建设工程开工验线及规划验收工作；９、法律法规、规章规定的其他方面的城建监察。</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新疆喀什地区泽普县城乡综合执法局2019年度，实有人数6人，其中：在职人员6人，离休人员0人，退休人员0人。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从部门决算单位构成看，新疆喀什地区泽普县城乡综合执法局部门决算包括：新疆喀什地区泽普县城乡综合执法局决算。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2019年度本年收入217.37万元，与上年相比，增加1.05万元，增长0.49%，主要原因是：人员工资较上年有所上调。本年支出217.37万元，与上年相比，增加1.05万元，增长0.49%，主要原因是：人员工资较上年有所上调。</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2019年度本年收入217.37万元，其中：财政拨款收入217.37万元，占100%；上级补助收入0万元，占0%；事业收入0万元，占0%；经营收入0万元，占0%；附属单位上缴收入0万元，占0%；其他收入0万元，占0%。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2019年度本年支出217.37万元，其中：基本支出217.37万元，占100%；项目支出0万元，占0%；上缴上级支出0万元，占0%；经营支出0万元，占0%；对附属单位补助支出0万元，占0%。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217.37万元，与上年相比，增加1.05万元，增长0.49%，主要原因是：人员工资较上年有所上调。财政拨款支出217.37万元，与上年相比，增加1.05万元，增长0.49%，主要原因是：人员工资较上年有所上调。</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241.69万元，决算数217.37万元，预决算差异率-10.06%，主要原因是：一人退休。财政拨款支出年初预算数241.69万元，决算数217.37万元，预决算差异率-10.06%，主要原因是：一人退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2019年度一般公共预算财政拨款支出217.37万元。按功能分类科目项级科目公开，其中：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2080505机关事业单位基本养老保险缴费支出8.59万元；</w:t>
      </w:r>
    </w:p>
    <w:p>
      <w:pPr>
        <w:ind w:firstLine="480"/>
        <w:jc w:val="both"/>
      </w:pPr>
      <w:r>
        <w:rPr>
          <w:rFonts w:ascii="仿宋_GB2312" w:hAnsi="仿宋_GB2312" w:cs="仿宋_GB2312" w:eastAsia="仿宋_GB2312"/>
          <w:b w:val="false"/>
          <w:sz w:val="32"/>
        </w:rPr>
        <w:t xml:space="preserve">   2080506机关事业单位职业年金缴费支出3.54万元；</w:t>
      </w:r>
    </w:p>
    <w:p>
      <w:pPr>
        <w:ind w:firstLine="480"/>
        <w:jc w:val="both"/>
      </w:pPr>
      <w:r>
        <w:rPr>
          <w:rFonts w:ascii="仿宋_GB2312" w:hAnsi="仿宋_GB2312" w:cs="仿宋_GB2312" w:eastAsia="仿宋_GB2312"/>
          <w:b w:val="false"/>
          <w:sz w:val="32"/>
        </w:rPr>
        <w:t xml:space="preserve">   2120101行政运行支出198.93万元；</w:t>
      </w:r>
    </w:p>
    <w:p>
      <w:pPr>
        <w:ind w:firstLine="480"/>
        <w:jc w:val="both"/>
      </w:pPr>
      <w:r>
        <w:rPr>
          <w:rFonts w:ascii="仿宋_GB2312" w:hAnsi="仿宋_GB2312" w:cs="仿宋_GB2312" w:eastAsia="仿宋_GB2312"/>
          <w:b w:val="false"/>
          <w:sz w:val="32"/>
        </w:rPr>
        <w:t xml:space="preserve">   2210201住房公积金支出6.31万元。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2019年度一般公共预算财政拨款基本支出217.37万元，其中：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212.41万元，包括：基本工资、津贴补贴、机关事业单位基本养老保险缴费、职业年金缴费、职工基本医疗保险缴费、公务员医疗补助缴费、其他社会保障缴费、住房公积金、其他工资福利支出、退休费、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公用经费4.97万元，包括：办公费、邮电费、差旅费、公务用车运行维护费。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3.31万元，比上年增加0.40万元，增长13.75%，主要原因是文明县城及70年大庆增加了执法车辆出勤频次。其中，因公出国（境）费支出0万元，占0%，比上年增加0万元，增长0%，主要原因是无因公出国（境）费；公务用车购置及运行维护费支出3.31万元，占100%，比上年增加0.40万元，增长13.75%，主要原因是文明县城及70年大庆增加了执法车辆出勤频次；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公务用车购置及运行维护费3.31万元，其中，公务用车购置费0万元，公务用车运行维护费3.31万元。公务用车运行维护费开支内容包括维护费、汽车油料。公务用车购置数0辆，公务用车保有量2辆。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3.50万元，决算数3.31万元，预决算差异率-5.43%，主要原因是：文明县城及70年大庆增加了执法车辆出勤频次。其中：因公出国（境）费预算数0万元，决算数0万元，预决算差异率0%，主要原因是：无因公出国（境）费；公务用车购置费预算数0万元，决算数0万元，预决算差异率0%，主要原因是：无公务用车购置数；公务用车运行费预算数3.50万元，决算数3.31万元，预决算差异率-5.43%，主要原因是：文明县城及70年大庆增加了执法车辆出勤频次；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2019年度新疆喀什地区泽普县城乡综合执法局机关运行经费支出4.97万元，比上年增加0.15万元，增长3.11%，主要原因是文明县城及70年大庆增加了执法车辆出勤频次。</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2019年度政府采购支出总额0.19万元，其中：政府采购货物支出0万元、政府采购工程支出0万元、政府采购服务支出0.19万元。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授予中小企业合同金额0.19万元，占政府采购支出总额的100%，其中：授予小微企业合同金额0.19万元，占政府采购支出总额的100%。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2辆，价值16.78万元，其中：副部（省）级及以上领导用车0辆、主要领导干部用车0辆、机要通信用车0辆、应急保障用车0辆、执法执勤用车2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2019年度，本部门单位预算绩效自评情况：本单位无有关预算绩效管理和绩效自评开展情况。</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9Gr9nUrSvt8kRlseWdEwoA==" w:hash="4cdmLVYfcVzPO0VaIbcMmxtvKE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