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9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pStyle w:val="47"/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</w:pPr>
    </w:p>
    <w:p>
      <w:pPr>
        <w:pStyle w:val="47"/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电子商务补助资金</w:t>
      </w:r>
    </w:p>
    <w:p>
      <w:pPr>
        <w:pStyle w:val="47"/>
        <w:spacing w:line="700" w:lineRule="exact"/>
        <w:jc w:val="left"/>
        <w:rPr>
          <w:rFonts w:eastAsia="仿宋_GB2312"/>
          <w:spacing w:val="-20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泽普县商务和工业信息化局</w:t>
      </w:r>
    </w:p>
    <w:p>
      <w:pPr>
        <w:pStyle w:val="47"/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 w:eastAsia="zh-TW"/>
        </w:rPr>
        <w:t>泽普县商务和工业信息化局</w:t>
      </w:r>
    </w:p>
    <w:p>
      <w:pPr>
        <w:pStyle w:val="47"/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zh-TW"/>
        </w:rPr>
        <w:t>阿纳古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·阿不都维力</w:t>
      </w:r>
    </w:p>
    <w:p>
      <w:pPr>
        <w:pStyle w:val="47"/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填报时间：20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20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年1月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  <w:lang w:val="en-US" w:eastAsia="zh-CN"/>
        </w:rPr>
        <w:t>8</w:t>
      </w:r>
      <w:r>
        <w:rPr>
          <w:rFonts w:ascii="仿宋_GB2312" w:hAnsi="仿宋_GB2312" w:eastAsia="仿宋_GB2312" w:cs="仿宋_GB2312"/>
          <w:kern w:val="0"/>
          <w:sz w:val="36"/>
          <w:szCs w:val="36"/>
          <w:lang w:val="zh-TW" w:eastAsia="zh-TW"/>
        </w:rPr>
        <w:t>日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567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泽普县辖1个区公所（奎依巴格区公所），2个镇、10个乡（包括1个民族乡）：泽普镇、奎依巴格镇、波斯喀木乡、依玛乡、古勒巴格乡、赛力乡、依克苏乡、图呼其乡、奎依巴格乡、阿克塔木乡、阿依库勒乡、布依鲁克塔吉克族乡。 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泽普镇辖6个社区：库勒贝希社区、喀热萨社区、阿瓦提社区、赫尼社区、巴格其社区、阿其克牙社区。  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奎依巴格镇辖3个社区、3个村委会：一社区、二社区、三社区、斯日木村、墩买里村、萨依吐格曼村。 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奎依巴格乡辖13个村委会：奎依巴格村、亚斯墩村、罕兰干村、吉格代加依村、亚勒古孜巴格村、英艾日克村、萨依艾日克村、阿拉恰其巴格村、销尔村、罕艾日克村、坎拜尔村、如苏勒艾热克村、皮亚村。 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波斯喀木乡辖14个村委会：喀拉萨村、托万库勒干村、阔什吉格代村、喀拉巴格村、玉吉买艾日克村、尤库日喀勒格热克村、阿热恰喀村、托万喀勒格热克村、帕依那甫村、阔恰铁热克村、苏盖特艾日克村、库其村、大尔格其村、园艺村。 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依玛乡辖18个村委会：米尔皮格勒村、依玛村、巴格艾日克村、木尕拉村、明勒克村、阿勒吞其村、色日克乌依村、铁提尔巴格村、巴达木艾日克村、库木艾日克村、阿热艾日克村、代普桑村、奥依村、托格拉克村、恰喀村、托万喀拉尤勒滚村、托万古勒巴格村、克孜勒加依村。 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古勒巴格乡辖14个村委会：阿热硝巴扎村、阿其玛村、克塔特村、阿热买里村、艾格日铁热克村、尤库日喀拉尤勒滚村、上阿热硝巴扎村、中阿热硝村、下阿热硝村、阿尔帕墩村、上古勒巴格村、吐格曼贝希村、阿瓦提村、科克墩村。 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赛力乡辖14个村委会：恰木古其村、赛力村、明鲁克村、阔孜玛勒村、塔勒巴格村、古勒巴格村、依希塔其村、英巴格村、尤库日乌鲁克艾日克村、色日克库拉克村、荒地村、乌鲁克艾日克村、巴扎村、园艺村。 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依克苏乡辖18个村委会：亚尔布拉克村、喀拉墩村、托格拉克勒克村、英巴扎村、阔纳巴扎村、巴亚巴格村、塔尕尔其村、斯也克村、加依托格拉克村、兰干村、铁提尔村、托皮恰村、阿拉格尔荒地村、托万恰喀村、阿拉格尔村、库木萨村、硝尔吐格曼村、赫尼村。 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图呼其乡辖9个村委会：阿克塔木加依村、墩恰喀村、荒地村、霍吉来特村、奥库尔塔木村、拉依丹村、桑村、巴什阿其玛村、阿亚格阿其玛村。 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阿克塔木乡辖8个村委会：阿克塔木村、阿扎尔塔木村、阔依其艾日克村、阔勒图克艾日克村、阿其克亚村、巴什托扎克其村、奥吐拉托扎克其村、阿亚格托扎克其村。 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阿依库勒乡辖14个村委会：乌其吐玛村、阿依库勒村、下乌其吐玛村、皮羌其村、库塔依村、帕合特其村、乌鲁克明村、夏依旦村、托万翁热特村、塔勒克其村、巴什翁热特村、阿合特其村、库依巴格村、巴什库尔干村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布依鲁克塔吉克族乡辖4个村委会：布依鲁克村、依斯其格村、图呼其村、园林村。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单位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主要职能：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、贯彻执行国家、自治区、地区有关经济和信息化方针政策和法律法规，提出全县新型工业化、信息化发展战略和政策建议；制订全县经济和信息化发展的地方优惠政策，并组织实施和监督检查；协调解决工业化和信息化进程中的重大问题；推进信息化和工业化融合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2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、制订全县经济和信息化、招商引资发展规划、年度计划并组织实施；制订工业和信息产业优化布局、结构调整的政策措施并组织实施，组织协调重点产业调整和规划的制订与实施。根据国家、自治区、地区产业政策，指导和协调跨区域、跨行业、跨部门的招商引资和联动协作；制订产业规</w:t>
      </w:r>
    </w:p>
    <w:p>
      <w:pPr>
        <w:autoSpaceDE w:val="0"/>
        <w:autoSpaceDN w:val="0"/>
        <w:adjustRightInd w:val="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划及扶持政策，并组织实施和监督检查；分析全县招商引资、内贸、外贸进出口状况，指导产业合理布局和结构调整，促进一、二、三产业协调发展；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3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、监测分析全县国民经济运行态势，调节国民经济日常运行；制订经济运行调控目标及措施并组织实施；统计并发布相关信息，进行预测预警和信息引导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 xml:space="preserve">; 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组织协调解决县域经济运行中的重大问题并提出措施建议；负责全县能源保障和重要物资供需平衡有关工作；负责关系国计民生的重要商品、原材料运输的综合协调、经济运行应急管理有关工作。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4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、负责全县经济和信息化领域各行业的管理，组织实施国家、自治区、地区拟订的行业专项规划、计划、技术规范和标准；负责工业园区建设管理工作。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5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、负责全县工业、信息产业及信息化建设的技术改造、投资工作；制订并组织实施技术改造、投资的有关政策措施；研究全县工业企业技术装备水平，推动企业技术进步和自主创新，促进相关科研成果产业化，规划企业技术改造项目投资方向和布局，引导企业、金融机构及社会资金的投向；负责技术改造、投资项目审核上报、核准、备案工作；负责重点技术改造项目招投标活动的监督管理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机构设置及人员情况：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泽普县泽普县商务和工业信息化局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（本级）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单位无下属预算单位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,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下设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4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个科室，分别是财务科、综合科、纪检科、商务科。</w:t>
      </w:r>
    </w:p>
    <w:p>
      <w:pPr>
        <w:autoSpaceDE w:val="0"/>
        <w:autoSpaceDN w:val="0"/>
        <w:adjustRightInd w:val="0"/>
        <w:jc w:val="lef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泽普县泽普县商务和工业信息化局（本级）单位编制数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24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人，实有人数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人，其中：在职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人，增加或减少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人；退休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13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人，增加或减少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人；离休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人，增加或减少</w:t>
      </w:r>
      <w:r>
        <w:rPr>
          <w:rStyle w:val="19"/>
          <w:rFonts w:ascii="仿宋" w:hAnsi="仿宋" w:eastAsia="仿宋"/>
          <w:b w:val="0"/>
          <w:spacing w:val="-4"/>
          <w:sz w:val="32"/>
          <w:szCs w:val="32"/>
        </w:rPr>
        <w:t>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人。</w:t>
      </w:r>
    </w:p>
    <w:p>
      <w:pPr>
        <w:numPr>
          <w:ilvl w:val="0"/>
          <w:numId w:val="1"/>
        </w:num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64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CN"/>
        </w:rPr>
        <w:t>建立电子商务平台，进行平台管理、维护、提供技术支撑和相应服务。电子商务平台项目实际投入和推广费用按实际测算。</w:t>
      </w:r>
    </w:p>
    <w:p>
      <w:pPr>
        <w:spacing w:line="540" w:lineRule="exact"/>
        <w:ind w:firstLine="64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CN"/>
        </w:rPr>
        <w:t>在农村流通、农业供给侧结构性改革等领域培育一批各具特色的乡镇。</w:t>
      </w:r>
    </w:p>
    <w:p>
      <w:pPr>
        <w:spacing w:line="540" w:lineRule="exact"/>
        <w:ind w:firstLine="64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CN"/>
        </w:rPr>
        <w:t>乡镇农村网络零售额、农产品网络零售额整体增速高于全国农村平均水平。</w:t>
      </w:r>
    </w:p>
    <w:p>
      <w:pPr>
        <w:spacing w:line="540" w:lineRule="exact"/>
        <w:ind w:firstLine="64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CN"/>
        </w:rPr>
        <w:t>农村电商加快发展，提升农村流通设施和服务水平，促进增收就业、产销对接、便民消费等成效较为明显。</w:t>
      </w:r>
    </w:p>
    <w:p>
      <w:pPr>
        <w:spacing w:line="540" w:lineRule="exact"/>
        <w:ind w:firstLine="64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567" w:firstLineChars="181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 xml:space="preserve">项目总投资概算 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1500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 ，其中：申请中央财政资金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1500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本项目实际支付资金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448.5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万元，预算执行率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30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%。项目资金主要用于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CN"/>
        </w:rPr>
        <w:t>加快农村电商发展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支付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CN"/>
        </w:rPr>
        <w:t>给一批各具特色的乡镇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448.5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360" w:lineRule="auto"/>
        <w:ind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 w:cs="宋体"/>
          <w:sz w:val="32"/>
          <w:szCs w:val="32"/>
        </w:rPr>
        <w:t>1、管理制度健全性</w:t>
      </w:r>
    </w:p>
    <w:p>
      <w:pPr>
        <w:adjustRightInd w:val="0"/>
        <w:snapToGrid w:val="0"/>
        <w:spacing w:line="360" w:lineRule="auto"/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单位制定了《</w:t>
      </w:r>
      <w:r>
        <w:rPr>
          <w:rFonts w:hint="eastAsia" w:ascii="仿宋_GB2312" w:eastAsia="仿宋_GB2312"/>
          <w:sz w:val="32"/>
          <w:szCs w:val="32"/>
        </w:rPr>
        <w:t>泽普县商务和经济信息化委员会</w:t>
      </w:r>
      <w:r>
        <w:rPr>
          <w:rFonts w:hint="eastAsia" w:ascii="仿宋" w:hAnsi="仿宋" w:eastAsia="仿宋"/>
          <w:sz w:val="32"/>
          <w:szCs w:val="32"/>
        </w:rPr>
        <w:t>财务管理制度》财务管理制健全完整，符合相关会计制度的规定。</w:t>
      </w:r>
    </w:p>
    <w:p>
      <w:pPr>
        <w:adjustRightInd w:val="0"/>
        <w:snapToGrid w:val="0"/>
        <w:spacing w:line="360" w:lineRule="auto"/>
        <w:ind w:firstLine="800" w:firstLineChars="25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</w:t>
      </w:r>
      <w:r>
        <w:rPr>
          <w:rFonts w:hint="eastAsia" w:ascii="仿宋_GB2312" w:eastAsia="仿宋_GB2312" w:cs="宋体"/>
          <w:sz w:val="32"/>
          <w:szCs w:val="32"/>
        </w:rPr>
        <w:t>资金使用合规性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资金使用程序较规范，资金拨付有完整的审批程序和手续，项目的重大开支经过评估认证，工程项目采用公开招标，监理单位的确认采用多家比选；项目资金使用不存在截留、挤占、挪用、虚列支出等情况。</w:t>
      </w:r>
    </w:p>
    <w:p>
      <w:pPr>
        <w:adjustRightInd w:val="0"/>
        <w:snapToGrid w:val="0"/>
        <w:spacing w:line="360" w:lineRule="auto"/>
        <w:ind w:firstLine="960" w:firstLineChars="300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eastAsia="仿宋_GB2312" w:cs="宋体"/>
          <w:sz w:val="32"/>
          <w:szCs w:val="32"/>
        </w:rPr>
        <w:t>3、财务监控有效性</w:t>
      </w:r>
    </w:p>
    <w:p>
      <w:pPr>
        <w:adjustRightInd w:val="0"/>
        <w:snapToGrid w:val="0"/>
        <w:spacing w:line="360" w:lineRule="auto"/>
        <w:ind w:firstLine="640" w:firstLineChars="200"/>
        <w:rPr>
          <w:rStyle w:val="19"/>
          <w:rFonts w:ascii="楷体_GB2312" w:hAnsi="楷体" w:eastAsia="楷体_GB2312"/>
          <w:spacing w:val="-4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为保障资金的安全、规范运行，单位制定的财务管理制度中设立了岗位责任制、内部监督等机制，并在财务工作中有效实施，能够做到会计核算规范、信息真实。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为保证项目质量和成本控制，项目实施完成后，由本项目相关人员于201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9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年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12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月30日完成检查验收，检查验收合格后按合同规定支付款项。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仿宋" w:hAnsi="仿宋" w:eastAsia="仿宋"/>
          <w:b w:val="0"/>
          <w:color w:val="FF0000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2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1、管理制度健全性</w:t>
      </w:r>
    </w:p>
    <w:p>
      <w:pPr>
        <w:spacing w:line="52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单位建立《项目管理制度》管理制度涵盖了项目的设立、质量管理、安全管理、项目验收等流程管理制度，项目管理制度健全。</w:t>
      </w:r>
    </w:p>
    <w:p>
      <w:pPr>
        <w:spacing w:line="52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2、制度执行的有效性</w:t>
      </w:r>
    </w:p>
    <w:p>
      <w:pPr>
        <w:spacing w:line="52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项目实施中严格按照管理制度执行。单位局长、主管局长、项目技术负责三级管理制度。项目部在项目实施过程中严格按照规程规范进行，单位党办定期对项目进行检查，对项目实施中存在的问题及时提出整改要求，并限期进行整改，并根据项目所取得的成果进行综合分析，对下一步工作提出指导性意见。</w:t>
      </w:r>
    </w:p>
    <w:p>
      <w:pPr>
        <w:spacing w:line="52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3、项目质量可控性</w:t>
      </w:r>
    </w:p>
    <w:p>
      <w:pPr>
        <w:spacing w:line="52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项目实施过程按照《项目管理制度》执行；施工过程聘请监理公司全程质量把控，制定建设工程质量、安全监督方案，并执行喀什地区建设工程施工安全生产措施备案手续；项目完成后组织建设、监理、检查、施工、设计单位进行竣工验收，并出具验收意见。项目质量可控性较好。</w:t>
      </w:r>
    </w:p>
    <w:p>
      <w:pPr>
        <w:spacing w:line="520" w:lineRule="exact"/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四、绩效目标实现情况分析</w:t>
      </w:r>
    </w:p>
    <w:p>
      <w:pPr>
        <w:pStyle w:val="47"/>
        <w:spacing w:line="700" w:lineRule="exact"/>
        <w:ind w:firstLine="624" w:firstLineChars="200"/>
        <w:jc w:val="left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CN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绩效目标完成情况：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在农村流通、农业供给侧结构性改革等领域培育一批各具特色的乡镇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CN"/>
        </w:rPr>
        <w:t>。</w:t>
      </w:r>
    </w:p>
    <w:p>
      <w:pPr>
        <w:pStyle w:val="47"/>
        <w:spacing w:line="700" w:lineRule="exact"/>
        <w:ind w:firstLine="624" w:firstLineChars="200"/>
        <w:jc w:val="left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乡镇农村网络零售额、农产品网络零售额整体增速高于全国农村平均水平。</w:t>
      </w:r>
    </w:p>
    <w:p>
      <w:pPr>
        <w:pStyle w:val="47"/>
        <w:spacing w:line="700" w:lineRule="exact"/>
        <w:ind w:firstLine="624" w:firstLineChars="200"/>
        <w:jc w:val="left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TW"/>
        </w:rPr>
        <w:t>农村电商加快发展，提升农村流通设施和服务水平，促进增收就业、产销对接、便民消费等成效较为明显。</w:t>
      </w:r>
    </w:p>
    <w:p>
      <w:pPr>
        <w:pStyle w:val="47"/>
        <w:spacing w:line="700" w:lineRule="exact"/>
        <w:ind w:firstLine="624" w:firstLineChars="200"/>
        <w:jc w:val="left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zh-TW" w:eastAsia="zh-CN"/>
        </w:rPr>
        <w:t>为电子商务平台、电子商务应用乡镇提供营销渠道服务、应用解决方案、业务流程外包，培训等加快乡镇农产品流通速度，提高零售额增加。</w:t>
      </w:r>
    </w:p>
    <w:p>
      <w:pPr>
        <w:pStyle w:val="47"/>
        <w:spacing w:line="700" w:lineRule="exact"/>
        <w:ind w:firstLine="627" w:firstLineChars="200"/>
        <w:jc w:val="left"/>
        <w:rPr>
          <w:rFonts w:ascii="仿宋" w:hAnsi="仿宋" w:eastAsia="仿宋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（一）项目资金情况分析。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1、资金到位情况分析。</w:t>
      </w:r>
    </w:p>
    <w:p>
      <w:pPr>
        <w:pStyle w:val="47"/>
        <w:spacing w:line="700" w:lineRule="exact"/>
        <w:ind w:firstLine="468" w:firstLineChars="150"/>
        <w:jc w:val="left"/>
        <w:rPr>
          <w:rFonts w:ascii="仿宋" w:hAnsi="仿宋" w:eastAsia="仿宋" w:cs="Times New Roman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201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pacing w:val="-4"/>
          <w:sz w:val="32"/>
          <w:szCs w:val="32"/>
        </w:rPr>
        <w:t>年度泽普县商务和工业信息化局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电子商务补助资金</w:t>
      </w:r>
      <w:r>
        <w:rPr>
          <w:rFonts w:hint="eastAsia" w:ascii="仿宋" w:hAnsi="仿宋" w:eastAsia="仿宋" w:cs="Times New Roman"/>
          <w:color w:val="auto"/>
          <w:spacing w:val="-4"/>
          <w:sz w:val="32"/>
          <w:szCs w:val="32"/>
        </w:rPr>
        <w:t>到位资金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1500</w:t>
      </w:r>
      <w:r>
        <w:rPr>
          <w:rFonts w:hint="eastAsia" w:ascii="楷体_GB2312" w:hAnsi="宋体" w:eastAsia="楷体_GB2312"/>
          <w:sz w:val="32"/>
          <w:szCs w:val="32"/>
        </w:rPr>
        <w:t>万元</w:t>
      </w:r>
      <w:r>
        <w:rPr>
          <w:rFonts w:hint="eastAsia" w:ascii="仿宋" w:hAnsi="仿宋" w:eastAsia="仿宋"/>
          <w:spacing w:val="-4"/>
          <w:sz w:val="32"/>
          <w:szCs w:val="32"/>
        </w:rPr>
        <w:t>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2、项目资金执行情况分析。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泽普县商务和工业信息化局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电子商务补助资金</w:t>
      </w:r>
      <w:r>
        <w:rPr>
          <w:rFonts w:hint="eastAsia" w:ascii="仿宋" w:hAnsi="仿宋" w:eastAsia="仿宋" w:cs="Times New Roman"/>
          <w:color w:val="auto"/>
          <w:spacing w:val="-4"/>
          <w:sz w:val="32"/>
          <w:szCs w:val="32"/>
        </w:rPr>
        <w:t>到位资金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1500</w:t>
      </w:r>
      <w:r>
        <w:rPr>
          <w:rFonts w:hint="eastAsia" w:ascii="楷体_GB2312" w:hAnsi="宋体" w:eastAsia="楷体_GB2312"/>
          <w:sz w:val="32"/>
          <w:szCs w:val="32"/>
        </w:rPr>
        <w:t>万元</w:t>
      </w:r>
      <w:r>
        <w:rPr>
          <w:rFonts w:hint="eastAsia" w:ascii="仿宋" w:hAnsi="仿宋" w:eastAsia="仿宋"/>
          <w:spacing w:val="-4"/>
          <w:sz w:val="32"/>
          <w:szCs w:val="32"/>
        </w:rPr>
        <w:t>。其中：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泽普镇、奎依巴格镇、波斯喀木乡、依玛乡、古勒巴格乡、赛力乡、依克苏乡、图呼其乡、奎依巴格乡、阿克塔木乡、阿依库勒乡、布依鲁克塔吉克族乡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电子商务补助资金</w:t>
      </w:r>
      <w:r>
        <w:rPr>
          <w:rFonts w:hint="eastAsia" w:ascii="仿宋" w:hAnsi="仿宋" w:eastAsia="仿宋"/>
          <w:spacing w:val="-4"/>
          <w:sz w:val="32"/>
          <w:szCs w:val="32"/>
        </w:rPr>
        <w:t>项目支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</w:rPr>
        <w:t>出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448.5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</w:rPr>
        <w:t>万元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lang w:eastAsia="zh-CN"/>
        </w:rPr>
        <w:t>，执行率</w:t>
      </w:r>
      <w:r>
        <w:rPr>
          <w:rFonts w:hint="eastAsia" w:ascii="仿宋" w:hAnsi="仿宋" w:eastAsia="仿宋" w:cs="Arial Unicode MS"/>
          <w:color w:val="000000"/>
          <w:spacing w:val="-4"/>
          <w:sz w:val="32"/>
          <w:szCs w:val="32"/>
          <w:lang w:val="en-US" w:eastAsia="zh-CN"/>
        </w:rPr>
        <w:t>30%</w:t>
      </w:r>
      <w:r>
        <w:rPr>
          <w:rFonts w:hint="eastAsia" w:ascii="仿宋" w:hAnsi="仿宋" w:eastAsia="仿宋"/>
          <w:spacing w:val="-4"/>
          <w:sz w:val="32"/>
          <w:szCs w:val="32"/>
        </w:rPr>
        <w:t>。　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3、项目资金管理情况分析。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单位制定《泽普县商务和工业信息化局财务管理制度》，专项资金下达财政国库，泽普县商务和工业信息化局根据文件要求整理汇总后，向县财经领导小组申请报告，对资金项目，及时公开张榜公布，接受行政、社会、舆论的监督，健全资金的监督检查制度。</w:t>
      </w:r>
    </w:p>
    <w:p>
      <w:pPr>
        <w:topLinePunct/>
        <w:spacing w:line="360" w:lineRule="auto"/>
        <w:ind w:firstLine="643" w:firstLineChars="200"/>
        <w:outlineLvl w:val="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（二）项目绩效指标完成情况分析。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1.产出指标完成情况分析。</w:t>
      </w:r>
    </w:p>
    <w:p>
      <w:pPr>
        <w:spacing w:line="540" w:lineRule="exact"/>
        <w:ind w:firstLine="564" w:firstLineChars="181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（1）项目完成数量</w:t>
      </w:r>
    </w:p>
    <w:p>
      <w:pPr>
        <w:topLinePunct/>
        <w:spacing w:line="360" w:lineRule="auto"/>
        <w:ind w:firstLine="624" w:firstLineChars="200"/>
        <w:jc w:val="left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农村网络零售额同比增速≥3%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、农产品网络零售额同比增速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≥3%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、农村网商（含社交、移动电商用户）同比增速≥1%、围绕本地特色农产品形成的产销</w:t>
      </w:r>
      <w:bookmarkStart w:id="0" w:name="_GoBack"/>
      <w:bookmarkEnd w:id="0"/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农产品供应链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2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条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（2）项目完成质量，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项目完成质量良好，补贴资金享受比例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/>
          <w:spacing w:val="-4"/>
          <w:sz w:val="32"/>
          <w:szCs w:val="32"/>
        </w:rPr>
        <w:t>%。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（3）项目实施进度。</w:t>
      </w:r>
    </w:p>
    <w:p>
      <w:pPr>
        <w:topLinePunct/>
        <w:spacing w:line="360" w:lineRule="auto"/>
        <w:ind w:firstLine="624" w:firstLineChars="200"/>
        <w:jc w:val="left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项目实施整体完成率良好。其中：资金到位及时率100%，按规定时间发放比率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/>
          <w:spacing w:val="-4"/>
          <w:sz w:val="32"/>
          <w:szCs w:val="32"/>
        </w:rPr>
        <w:t>%。</w:t>
      </w:r>
    </w:p>
    <w:p>
      <w:pPr>
        <w:numPr>
          <w:ilvl w:val="0"/>
          <w:numId w:val="2"/>
        </w:numPr>
        <w:topLinePunct/>
        <w:spacing w:line="360" w:lineRule="auto"/>
        <w:ind w:firstLine="624" w:firstLineChars="200"/>
        <w:jc w:val="left"/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项目成本。</w:t>
      </w:r>
    </w:p>
    <w:p>
      <w:pPr>
        <w:numPr>
          <w:ilvl w:val="0"/>
          <w:numId w:val="0"/>
        </w:numPr>
        <w:topLinePunct/>
        <w:spacing w:line="360" w:lineRule="auto"/>
        <w:jc w:val="left"/>
        <w:rPr>
          <w:rFonts w:hint="default" w:ascii="仿宋" w:hAnsi="仿宋" w:eastAsia="仿宋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 xml:space="preserve">    项目截至目前拨付完成448.5万元。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2.效益指标完成情况分析。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（1）项目实施的经济效益分析。</w:t>
      </w:r>
    </w:p>
    <w:p>
      <w:pPr>
        <w:topLinePunct/>
        <w:spacing w:line="360" w:lineRule="auto"/>
        <w:ind w:firstLine="624" w:firstLineChars="200"/>
        <w:jc w:val="left"/>
        <w:rPr>
          <w:rFonts w:hint="default" w:ascii="仿宋" w:hAnsi="仿宋" w:eastAsia="仿宋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示范项目对行政村的服务总体覆盖率≧15%；县域农产品网络零售额同比增速≧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%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（2）项目实施的社会效益分析。</w:t>
      </w:r>
    </w:p>
    <w:p>
      <w:pPr>
        <w:topLinePunct/>
        <w:spacing w:line="360" w:lineRule="auto"/>
        <w:ind w:firstLine="624" w:firstLineChars="200"/>
        <w:jc w:val="left"/>
        <w:rPr>
          <w:rFonts w:hint="eastAsia" w:ascii="仿宋" w:hAnsi="仿宋" w:eastAsia="仿宋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培训转化率（创业就业务工人数/参训人数）≥1.2%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pacing w:val="-4"/>
          <w:sz w:val="32"/>
          <w:szCs w:val="32"/>
        </w:rPr>
        <w:t>通过电子商务补助资金，有效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促进农民增收。</w:t>
      </w:r>
    </w:p>
    <w:p>
      <w:pPr>
        <w:topLinePunct/>
        <w:spacing w:line="360" w:lineRule="auto"/>
        <w:ind w:firstLine="624" w:firstLineChars="200"/>
        <w:jc w:val="left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（3）项目实施的生态效益分析。</w:t>
      </w:r>
    </w:p>
    <w:p>
      <w:pPr>
        <w:topLinePunct/>
        <w:spacing w:line="360" w:lineRule="auto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无。</w:t>
      </w:r>
    </w:p>
    <w:p>
      <w:pPr>
        <w:topLinePunct/>
        <w:spacing w:line="360" w:lineRule="auto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（4）项目实施的可持续影响分析。</w:t>
      </w:r>
    </w:p>
    <w:p>
      <w:pPr>
        <w:topLinePunct/>
        <w:spacing w:line="360" w:lineRule="auto"/>
        <w:ind w:firstLine="624" w:firstLineChars="200"/>
        <w:rPr>
          <w:rFonts w:hint="eastAsia"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长期</w:t>
      </w:r>
      <w:r>
        <w:rPr>
          <w:rFonts w:hint="eastAsia" w:ascii="仿宋" w:hAnsi="仿宋" w:eastAsia="仿宋"/>
          <w:spacing w:val="-4"/>
          <w:sz w:val="32"/>
          <w:szCs w:val="32"/>
        </w:rPr>
        <w:t>促进泽普县电子商务发展</w:t>
      </w:r>
      <w:r>
        <w:rPr>
          <w:rFonts w:hint="eastAsia" w:ascii="仿宋" w:hAnsi="仿宋" w:eastAsia="仿宋"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pacing w:val="-4"/>
          <w:sz w:val="32"/>
          <w:szCs w:val="32"/>
        </w:rPr>
        <w:t>将全新理念与先进管理模式带入引进地，改变当地经济发展格局。</w:t>
      </w:r>
    </w:p>
    <w:p>
      <w:pPr>
        <w:topLinePunct/>
        <w:spacing w:line="360" w:lineRule="auto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3.满意度指标完成情况分析。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服务对象对示范工作的满意度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75</w:t>
      </w:r>
      <w:r>
        <w:rPr>
          <w:rFonts w:hint="eastAsia" w:ascii="仿宋" w:hAnsi="仿宋" w:eastAsia="仿宋"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spacing w:val="-4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不存在未完成情况。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楷体_GB2312" w:hAnsi="宋体" w:eastAsia="楷体_GB2312" w:cs="Arial Unicode MS"/>
          <w:color w:val="000000"/>
          <w:sz w:val="32"/>
          <w:szCs w:val="32"/>
          <w:u w:color="000000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做好项目的手续移交工作，定期对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电子商务补助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资金使用情况进行监督检查，促进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我县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持续健康发展，带动本地群众就业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增收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1、持续加强资金项目监管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严格落实扶贫资金管理制度，强化扶贫资金和项目管理，做到了项目“精准”，资金拨付精准及时。严格执行扶贫资金项目公告公示制度，公告公示贯穿项目管理事前、事中、事后全过程。公告公示的方式、时间、地点、内容应便于群众知晓和理解。广泛接受社会监督、舆论监督。同时，加快资金拨付进度，确保资金安全及时到位。杜绝扶贫专项资金违规使用，确保了资金安全、项目安全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2、强化责任担当 加快推进项目建设进度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全力协调解决施工单位在施工过程中遇到的困难，同时，施工过程聘请监理公司全程质量把控，在保证项目施工质量的前提下，加快项目实施进度，高标准高要求完成项目建设。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3、后续工作计划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将该项目产权移交属地乡村两级组织。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工厂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及附属设施租赁收入用于贫困群众收益再分配或村集体扶贫事业。乡村两级组织承担后期管护责任。项目实施，其示范推广作用，将直接带动泽普县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电子商务产业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的发展，既壮大县域经济实力，又增加企业经济效益，发挥了产业促就业助增收保的积极作用，经济效益和社会效益良好。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</w:pPr>
      <w:r>
        <w:rPr>
          <w:rFonts w:hint="eastAsia" w:ascii="仿宋" w:hAnsi="仿宋" w:eastAsia="仿宋"/>
          <w:bCs/>
          <w:spacing w:val="-4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  <w:t>本次评价通过文件研读、实地调研、数据分析等方式，全面了解电子商务补助资金支持项目资金的使用效率和效果，项目管理过程是否规范，是否完成了预期绩效目标等。同时，通过开展自我评价来总结经验和教训，为泽普县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zh-CN" w:eastAsia="zh-CN"/>
        </w:rPr>
        <w:t>电子商务补贴</w:t>
      </w:r>
      <w:r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  <w:t>资金支持项目今后的开展提供参考建议。</w:t>
      </w:r>
    </w:p>
    <w:p>
      <w:pPr>
        <w:spacing w:line="48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2.为确保项目实施效益，对受益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群体</w:t>
      </w:r>
      <w:r>
        <w:rPr>
          <w:rFonts w:hint="eastAsia" w:ascii="仿宋" w:hAnsi="仿宋" w:eastAsia="仿宋" w:cs="仿宋"/>
          <w:sz w:val="32"/>
          <w:szCs w:val="32"/>
        </w:rPr>
        <w:t>进行走访，发放调查问卷，实地勘察等方式进行调查，受益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群体</w:t>
      </w:r>
      <w:r>
        <w:rPr>
          <w:rFonts w:hint="eastAsia" w:ascii="仿宋" w:hAnsi="仿宋" w:eastAsia="仿宋" w:cs="仿宋"/>
          <w:sz w:val="32"/>
          <w:szCs w:val="32"/>
        </w:rPr>
        <w:t>满意度较高。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3.为做好项目管理，单位成立了以阿娜古•阿布都维力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为组长的绩效评价工作领导小组，配备专业人员，对项目的开展和工作程序等进行统一安排部署，具体工作部门为业务部门与财务部门。泽普县商工局绩效评价工作领导小组。其小组人员名单如下：</w:t>
      </w:r>
    </w:p>
    <w:p>
      <w:pPr>
        <w:adjustRightInd w:val="0"/>
        <w:snapToGrid w:val="0"/>
        <w:spacing w:line="360" w:lineRule="auto"/>
        <w:ind w:firstLine="560" w:firstLineChars="1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组  长：阿娜古</w:t>
      </w:r>
      <w:r>
        <w:rPr>
          <w:rFonts w:hint="eastAsia" w:ascii="宋体" w:hAnsi="宋体" w:cs="宋体"/>
          <w:sz w:val="32"/>
          <w:szCs w:val="32"/>
        </w:rPr>
        <w:t>•</w:t>
      </w:r>
      <w:r>
        <w:rPr>
          <w:rFonts w:hint="eastAsia" w:ascii="仿宋" w:hAnsi="仿宋" w:eastAsia="仿宋" w:cs="仿宋"/>
          <w:sz w:val="32"/>
          <w:szCs w:val="32"/>
        </w:rPr>
        <w:t>阿布都维力（泽普县商工局党委书记）</w:t>
      </w:r>
    </w:p>
    <w:p>
      <w:pPr>
        <w:adjustRightInd w:val="0"/>
        <w:snapToGrid w:val="0"/>
        <w:spacing w:line="360" w:lineRule="auto"/>
        <w:ind w:firstLine="560" w:firstLineChars="1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副组长：陆保平（泽普县商工局局长）</w:t>
      </w:r>
    </w:p>
    <w:p>
      <w:pPr>
        <w:adjustRightInd w:val="0"/>
        <w:snapToGrid w:val="0"/>
        <w:spacing w:line="360" w:lineRule="auto"/>
        <w:ind w:firstLine="560" w:firstLineChars="1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  员：王晓东（泽普县商工局副局长）</w:t>
      </w:r>
    </w:p>
    <w:p>
      <w:pPr>
        <w:adjustRightInd w:val="0"/>
        <w:snapToGrid w:val="0"/>
        <w:spacing w:line="360" w:lineRule="auto"/>
        <w:ind w:firstLine="1680" w:firstLineChars="52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陈定均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hint="eastAsia" w:ascii="仿宋" w:hAnsi="仿宋" w:eastAsia="仿宋"/>
          <w:bCs/>
          <w:spacing w:val="-4"/>
          <w:sz w:val="32"/>
          <w:szCs w:val="32"/>
          <w:lang w:val="zh-CN"/>
        </w:rPr>
      </w:pPr>
      <w:r>
        <w:rPr>
          <w:rFonts w:hint="eastAsia" w:ascii="仿宋_GB2312" w:eastAsia="仿宋_GB2312" w:cs="宋体"/>
          <w:sz w:val="32"/>
          <w:szCs w:val="32"/>
        </w:rPr>
        <w:t>组织项目组成员分工负责检查各自担负的项目内容，对照扶贫项目实施方案、立项审批、招投标、监理、验收等资料进行逐项检查、核对，对承担内容的完成情况、进度、质量梳理，每月进行绩效监控，财会人员对项目有关收支账簿、审批、票据进行分类检查与核对，检查是否存在违规支出与列支。完成上述自查与互查后，又召开由项目参与人员与财务人员共同参加的绩效评价会议，交流与讨论了自查和互查情况，编写评价报告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9</w:t>
        </w:r>
        <w:r>
          <w:fldChar w:fldCharType="end"/>
        </w:r>
      </w:p>
    </w:sdtContent>
  </w:sdt>
  <w:p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12FF4"/>
    <w:multiLevelType w:val="singleLevel"/>
    <w:tmpl w:val="3B012FF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44760A9"/>
    <w:multiLevelType w:val="singleLevel"/>
    <w:tmpl w:val="444760A9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21AE4"/>
    <w:rsid w:val="00136EA1"/>
    <w:rsid w:val="00146AAD"/>
    <w:rsid w:val="0019135A"/>
    <w:rsid w:val="001B3A40"/>
    <w:rsid w:val="001B6672"/>
    <w:rsid w:val="00266D7B"/>
    <w:rsid w:val="0036514A"/>
    <w:rsid w:val="003D71D1"/>
    <w:rsid w:val="004366A8"/>
    <w:rsid w:val="004B61F0"/>
    <w:rsid w:val="00502BA7"/>
    <w:rsid w:val="005162F1"/>
    <w:rsid w:val="00535153"/>
    <w:rsid w:val="00554F82"/>
    <w:rsid w:val="0056390D"/>
    <w:rsid w:val="005719B0"/>
    <w:rsid w:val="00593FD5"/>
    <w:rsid w:val="005D10D6"/>
    <w:rsid w:val="00607FEF"/>
    <w:rsid w:val="007C12F0"/>
    <w:rsid w:val="00855E3A"/>
    <w:rsid w:val="00922CB9"/>
    <w:rsid w:val="0095514E"/>
    <w:rsid w:val="009846ED"/>
    <w:rsid w:val="009E5CD9"/>
    <w:rsid w:val="00A26421"/>
    <w:rsid w:val="00A4293B"/>
    <w:rsid w:val="00A5595C"/>
    <w:rsid w:val="00A67D50"/>
    <w:rsid w:val="00A8691A"/>
    <w:rsid w:val="00AC1946"/>
    <w:rsid w:val="00B40063"/>
    <w:rsid w:val="00B41F61"/>
    <w:rsid w:val="00B71A5B"/>
    <w:rsid w:val="00B7771B"/>
    <w:rsid w:val="00BA46E6"/>
    <w:rsid w:val="00C56C72"/>
    <w:rsid w:val="00CA6457"/>
    <w:rsid w:val="00CB2D53"/>
    <w:rsid w:val="00CC7113"/>
    <w:rsid w:val="00D17F2E"/>
    <w:rsid w:val="00D30354"/>
    <w:rsid w:val="00D67F49"/>
    <w:rsid w:val="00DF42A0"/>
    <w:rsid w:val="00E551CA"/>
    <w:rsid w:val="00E769FE"/>
    <w:rsid w:val="00EA2CBE"/>
    <w:rsid w:val="00F32FEE"/>
    <w:rsid w:val="00FB10BB"/>
    <w:rsid w:val="04074378"/>
    <w:rsid w:val="0C4E0D62"/>
    <w:rsid w:val="0F6C473F"/>
    <w:rsid w:val="117411FC"/>
    <w:rsid w:val="18B434BD"/>
    <w:rsid w:val="1AC6506E"/>
    <w:rsid w:val="219A7715"/>
    <w:rsid w:val="227E3606"/>
    <w:rsid w:val="2B99586C"/>
    <w:rsid w:val="39472D7A"/>
    <w:rsid w:val="39D10423"/>
    <w:rsid w:val="3AA43DE3"/>
    <w:rsid w:val="46E8256A"/>
    <w:rsid w:val="490F16D2"/>
    <w:rsid w:val="4BA3159D"/>
    <w:rsid w:val="55271E31"/>
    <w:rsid w:val="56B7614B"/>
    <w:rsid w:val="58565282"/>
    <w:rsid w:val="5D68760F"/>
    <w:rsid w:val="6327706C"/>
    <w:rsid w:val="6C636691"/>
    <w:rsid w:val="6E573DD5"/>
    <w:rsid w:val="6F25608B"/>
    <w:rsid w:val="70FC0C29"/>
    <w:rsid w:val="73B7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5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6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7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8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9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10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1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Indent 2"/>
    <w:basedOn w:val="1"/>
    <w:uiPriority w:val="0"/>
    <w:pPr>
      <w:spacing w:after="120" w:line="480" w:lineRule="auto"/>
      <w:ind w:left="420" w:leftChars="200"/>
    </w:pPr>
  </w:style>
  <w:style w:type="paragraph" w:styleId="12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4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5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6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7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8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9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10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1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3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9</Pages>
  <Words>479</Words>
  <Characters>2733</Characters>
  <Lines>22</Lines>
  <Paragraphs>6</Paragraphs>
  <TotalTime>0</TotalTime>
  <ScaleCrop>false</ScaleCrop>
  <LinksUpToDate>false</LinksUpToDate>
  <CharactersWithSpaces>3206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</cp:lastModifiedBy>
  <cp:lastPrinted>2018-12-31T10:56:00Z</cp:lastPrinted>
  <dcterms:modified xsi:type="dcterms:W3CDTF">2020-10-12T09:09:59Z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