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新疆喀什地区泽普县商务和经济信息化委员会2019年度部门决算公开说明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1、贯彻执行国家、自治区、地区有关经济和信息化方针政策和法律法规，提出全县新型工业化、信息化发展战略和政策建议；制订全县经济和信息化发展的地方优惠政策，并组织实施和监督检查；协调解决工业化和信息化进程中的重大问题；推进信息化和工业化融合。</w:t>
      </w:r>
    </w:p>
    <w:p>
      <w:pPr>
        <w:ind w:firstLine="480"/>
        <w:jc w:val="both"/>
      </w:pPr>
      <w:r>
        <w:rPr>
          <w:rFonts w:ascii="仿宋_GB2312" w:hAnsi="仿宋_GB2312" w:cs="仿宋_GB2312" w:eastAsia="仿宋_GB2312"/>
          <w:b w:val="false"/>
          <w:sz w:val="32"/>
        </w:rPr>
        <w:t xml:space="preserve"> 2、制订全县经济和信息化、招商引资发展规划、年度计划并组织实施；制订工业和信息产业优化布局、结构调整的政策措施并组织实施，组织协调重点产业调整和规划的制订与实施。根据国家、自治区、地区产业政策，指导和协调跨区域、跨行业、跨部门的招商引资和联动协作；制订产业规划及扶持政策，并组织实施和监督检查；分析全县招商引资、内贸、外贸进出口状况，指导产业合理布局和结构调整，促进一、二、三产业协调发展。</w:t>
      </w:r>
    </w:p>
    <w:p>
      <w:pPr>
        <w:ind w:firstLine="480"/>
        <w:jc w:val="both"/>
      </w:pPr>
      <w:r>
        <w:rPr>
          <w:rFonts w:ascii="仿宋_GB2312" w:hAnsi="仿宋_GB2312" w:cs="仿宋_GB2312" w:eastAsia="仿宋_GB2312"/>
          <w:b w:val="false"/>
          <w:sz w:val="32"/>
        </w:rPr>
        <w:t xml:space="preserve"> 3、监测分析全县国民经济运行态势，调节国民经济日常运行；制订经济运行调控目标及措施并组织实施；统计并发布相关信息，进行预测预警和信息引导;组织协调解决县域经济运行中的重大问题并提出措施建议；负责全县能源保障和重要物资供需平衡有关工作；负责关系国计民生的重要商品、原材料运输的综合协调、经济运行应急管理有关工作。</w:t>
      </w:r>
    </w:p>
    <w:p>
      <w:pPr>
        <w:ind w:firstLine="480"/>
        <w:jc w:val="both"/>
      </w:pPr>
      <w:r>
        <w:rPr>
          <w:rFonts w:ascii="仿宋_GB2312" w:hAnsi="仿宋_GB2312" w:cs="仿宋_GB2312" w:eastAsia="仿宋_GB2312"/>
          <w:b w:val="false"/>
          <w:sz w:val="32"/>
        </w:rPr>
        <w:t xml:space="preserve"> 4、负责全县经济和信息化领域各行业的管理，组织实施国家、自治区、地区拟订的行业专项规划、计划、技术规范和标准；负责工业园区建设管理工作。</w:t>
      </w:r>
    </w:p>
    <w:p>
      <w:pPr>
        <w:ind w:firstLine="480"/>
        <w:jc w:val="both"/>
      </w:pPr>
      <w:r>
        <w:rPr>
          <w:rFonts w:ascii="仿宋_GB2312" w:hAnsi="仿宋_GB2312" w:cs="仿宋_GB2312" w:eastAsia="仿宋_GB2312"/>
          <w:b w:val="false"/>
          <w:sz w:val="32"/>
        </w:rPr>
        <w:t xml:space="preserve"> 5、负责全县工业、信息产业及信息化建设的技术改造、投资工作；制订并组织实施技术改造、投资的有关政策措施；研究全县工业企业技术装备水平，推动企业技术进步和自主创新，促进相关科研成果产业化，规划企业技术改造项目投资方向和布局，引导企业、金融机构及社会资金的投向；负责技术改造、投资项目审核上报、核准、备案工作；负责重点技术改造项目招投标活动的监督管理。</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新疆喀什地区泽普县商务和经济信息化委员会2019年度，实有人数9人，其中：在职人员9人，离休人员0人，退休人员0人。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从部门决算单位构成看，新疆喀什地区泽普县商务和经济信息化委员会部门决算包括：新疆喀什地区泽普县商务和经济信息化委员会决算。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6,515.88万元，与上年相比，增加87.66万元，增长1.36%，主要原因是：今年扶贫资金较上年增加;地区拨入的业务经费。本年支出6,954.38万元，与上年相比，增加1,617.72万元，增长30.31%，主要原因是：今年扶贫资金较上年增加;地区拨入的业务经费。</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2019年度本年收入6,515.88万元，其中：财政拨款收入6,505.88万元，占99.85%；上级补助收入0万元，占0%；事业收入0万元，占0%；经营收入0万元，占0%；附属单位上缴收入0万元，占0%；其他收入10万元，占0.15%。</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2019年度本年支出6,954.38万元，其中：基本支出192.60万元，占2.77%；项目支出6,761.78万元，占97.23%；上缴上级支出0万元，占0%；经营支出0万元，占0%；对附属单位补助支出0万元，占0%。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6,505.88万元，与上年相比，增加77.66万元，增长1.21%，主要原因是：今年扶贫资金较上年增加;地区拨入的业务经费。财政拨款支出6,954.38万元，与上年相比，增加1,617.72万元，增长30.31%，主要原因是：今年扶贫资金较上年增加;地区拨入的业务经费。</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4,368.16万元，决算数6,505.88万元，预决算差异率48.94%，主要原因是：今年扶贫资金较上年增加;地区拨入的业务经费。财政拨款支出年初预算数4,368.16万元，决算数6,954.38万元，预决算差异率59.21%，主要原因是：今年扶贫资金较上年增加;地区拨入的业务经费。</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2019年度一般公共预算财政拨款支出6,954.38万元。按功能分类科目项级科目公开，其中：</w:t>
      </w:r>
    </w:p>
    <w:p>
      <w:pPr>
        <w:ind w:firstLine="480"/>
        <w:jc w:val="both"/>
      </w:pPr>
      <w:r>
        <w:rPr>
          <w:rFonts w:ascii="仿宋_GB2312" w:hAnsi="仿宋_GB2312" w:cs="仿宋_GB2312" w:eastAsia="仿宋_GB2312"/>
          <w:b w:val="false"/>
          <w:sz w:val="32"/>
        </w:rPr>
        <w:t xml:space="preserve">   2011301行政运行支出138.76万元；</w:t>
      </w:r>
    </w:p>
    <w:p>
      <w:pPr>
        <w:ind w:firstLine="480"/>
        <w:jc w:val="both"/>
      </w:pPr>
      <w:r>
        <w:rPr>
          <w:rFonts w:ascii="仿宋_GB2312" w:hAnsi="仿宋_GB2312" w:cs="仿宋_GB2312" w:eastAsia="仿宋_GB2312"/>
          <w:b w:val="false"/>
          <w:sz w:val="32"/>
        </w:rPr>
        <w:t xml:space="preserve">   2011399其他商贸事务支出29.42万元；</w:t>
      </w:r>
    </w:p>
    <w:p>
      <w:pPr>
        <w:ind w:firstLine="480"/>
        <w:jc w:val="both"/>
      </w:pPr>
      <w:r>
        <w:rPr>
          <w:rFonts w:ascii="仿宋_GB2312" w:hAnsi="仿宋_GB2312" w:cs="仿宋_GB2312" w:eastAsia="仿宋_GB2312"/>
          <w:b w:val="false"/>
          <w:sz w:val="32"/>
        </w:rPr>
        <w:t xml:space="preserve">   2080505机关事业单位基本养老保险缴费支出14.14万元；</w:t>
      </w:r>
    </w:p>
    <w:p>
      <w:pPr>
        <w:ind w:firstLine="480"/>
        <w:jc w:val="both"/>
      </w:pPr>
      <w:r>
        <w:rPr>
          <w:rFonts w:ascii="仿宋_GB2312" w:hAnsi="仿宋_GB2312" w:cs="仿宋_GB2312" w:eastAsia="仿宋_GB2312"/>
          <w:b w:val="false"/>
          <w:sz w:val="32"/>
        </w:rPr>
        <w:t xml:space="preserve">   2130505生产发展支出6,172.69万元；</w:t>
      </w:r>
    </w:p>
    <w:p>
      <w:pPr>
        <w:ind w:firstLine="480"/>
        <w:jc w:val="both"/>
      </w:pPr>
      <w:r>
        <w:rPr>
          <w:rFonts w:ascii="仿宋_GB2312" w:hAnsi="仿宋_GB2312" w:cs="仿宋_GB2312" w:eastAsia="仿宋_GB2312"/>
          <w:b w:val="false"/>
          <w:sz w:val="32"/>
        </w:rPr>
        <w:t xml:space="preserve">   2150204纺织业支出97.44万元；</w:t>
      </w:r>
    </w:p>
    <w:p>
      <w:pPr>
        <w:ind w:firstLine="480"/>
        <w:jc w:val="both"/>
      </w:pPr>
      <w:r>
        <w:rPr>
          <w:rFonts w:ascii="仿宋_GB2312" w:hAnsi="仿宋_GB2312" w:cs="仿宋_GB2312" w:eastAsia="仿宋_GB2312"/>
          <w:b w:val="false"/>
          <w:sz w:val="32"/>
        </w:rPr>
        <w:t xml:space="preserve">   2150299其他制造业支出43.14万元；</w:t>
      </w:r>
    </w:p>
    <w:p>
      <w:pPr>
        <w:ind w:firstLine="480"/>
        <w:jc w:val="both"/>
      </w:pPr>
      <w:r>
        <w:rPr>
          <w:rFonts w:ascii="仿宋_GB2312" w:hAnsi="仿宋_GB2312" w:cs="仿宋_GB2312" w:eastAsia="仿宋_GB2312"/>
          <w:b w:val="false"/>
          <w:sz w:val="32"/>
        </w:rPr>
        <w:t xml:space="preserve">   2150899其他支持中小企业发展和管理支出0万元；</w:t>
      </w:r>
    </w:p>
    <w:p>
      <w:pPr>
        <w:ind w:firstLine="480"/>
        <w:jc w:val="both"/>
      </w:pPr>
      <w:r>
        <w:rPr>
          <w:rFonts w:ascii="仿宋_GB2312" w:hAnsi="仿宋_GB2312" w:cs="仿宋_GB2312" w:eastAsia="仿宋_GB2312"/>
          <w:b w:val="false"/>
          <w:sz w:val="32"/>
        </w:rPr>
        <w:t xml:space="preserve">   2160299其他商业流通事务支出448.50万元；</w:t>
      </w:r>
    </w:p>
    <w:p>
      <w:pPr>
        <w:ind w:firstLine="480"/>
        <w:jc w:val="both"/>
      </w:pPr>
      <w:r>
        <w:rPr>
          <w:rFonts w:ascii="仿宋_GB2312" w:hAnsi="仿宋_GB2312" w:cs="仿宋_GB2312" w:eastAsia="仿宋_GB2312"/>
          <w:b w:val="false"/>
          <w:sz w:val="32"/>
        </w:rPr>
        <w:t xml:space="preserve">   2210201住房公积金支出10.29万元。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2019年度一般公共预算财政拨款基本支出192.60万元，其中：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人员经费145.32万元，包括：基本工资、津贴补贴、机关事业单位基本养老保险缴费、职工基本医疗保险缴费、公务员医疗补助缴费、其他社会保障缴费、住房公积金、退休费、生活补助、奖励金。</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公用经费47.28万元，包括：办公费、印刷费、邮电费、差旅费、租赁费、劳务费、公务用车运行维护费、其他交通费用。</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3.50万元，比上年减少1.57万元，降低30.97%，主要原因是严格控制三公经费支出，减少公务用车运行费；。其中，因公出国（境）费支出0万元，占0%，比上年增加0万元，增长0%，主要原因是无因公出国境费；公务用车购置及运行维护费支出3.50万元，占100%，比上年减少1.57万元，降低30.97%，主要原因是严格控制三公经费支出，减少公务用车运行费；公务接待费支出0万元，占0%，比上年增加0万元，增长0%，主要原因是无公务接待费。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因公出国（境）费支出0万元，开支内容包括：无因公出国境费。单位全年安排的因公出国（境）团组0个，因公出国（境）0人次。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公务用车购置及运行维护费3.50万元，其中，公务用车购置费0万元，公务用车运行维护费3.50万元。公务用车运行维护费开支内容包括汽车油料、维护费。公务用车购置数0辆，公务用车保有量1辆。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公务接待费0万元，开支内容包括无公务接待费。单位全年安排的国内公务接待0批次，0人次。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3.50万元，决算数3.50万元，预决算差异率0%，主要原因是：无差异。其中：因公出国（境）费预算数0万元，决算数0万元，预决算差异率0%，主要原因是：无因公出国境费；公务用车购置费预算数0万元，决算数0万元，预决算差异率0%，主要原因是：无公务用车购置费；公务用车运行费预算数3.50万元，决算数3.50万元，预决算差异率0%，主要原因是：无差异；公务接待费预算数0万元，决算数0万元，预决算差异率0%，主要原因是：无公务接待费。</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2019年度新疆喀什地区泽普县商务和经济信息化委员会机关运行经费支出47.28万元，比上年增加18.83万元，增长66.19%，主要原因是本年外出演出费用增加。</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2019年度政府采购支出总额252.42万元，其中：政府采购货物支出252.10万元、政府采购工程支出0万元、政府采购服务支出0.32万元。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授予中小企业合同金额252.10万元，占政府采购支出总额的99.87%，其中：授予小微企业合同金额252.10万元，占政府采购支出总额的99.87%。</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1,200（平方米），价值54.68万元。车辆1辆，价值15.52万元，其中：副部（省）级及以上领导用车0辆、主要领导干部用车0辆、机要通信用车0辆、应急保障用车0辆、执法执勤用车0辆、特种专业技术用车0辆、离退休干部用车0辆、其他用车1辆，其他用车主要是：单位办公用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5个，共涉及资金6761.78万元。预算绩效管理取得的成效：无。发现的问题及原因：无。下一步改进措施：无。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FSWpOBRIhYY4xlNVuZPV3g==" w:hash="shiniN1P3g5c9AEmQdkVxVUgueE="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