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8"/>
        <w:spacing w:line="540" w:lineRule="exact"/>
        <w:jc w:val="center"/>
        <w:rPr>
          <w:rFonts w:ascii="华文中宋" w:hAnsi="华文中宋" w:eastAsia="华文中宋" w:cs="华文中宋"/>
          <w:b/>
          <w:bCs/>
          <w:color w:val="auto"/>
          <w:kern w:val="0"/>
          <w:sz w:val="52"/>
          <w:szCs w:val="52"/>
        </w:rPr>
      </w:pPr>
    </w:p>
    <w:p>
      <w:pPr>
        <w:pStyle w:val="48"/>
        <w:spacing w:line="540" w:lineRule="exact"/>
        <w:jc w:val="center"/>
        <w:rPr>
          <w:rFonts w:ascii="华文中宋" w:hAnsi="华文中宋" w:eastAsia="华文中宋" w:cs="华文中宋"/>
          <w:b/>
          <w:bCs/>
          <w:color w:val="auto"/>
          <w:kern w:val="0"/>
          <w:sz w:val="52"/>
          <w:szCs w:val="52"/>
        </w:rPr>
      </w:pPr>
    </w:p>
    <w:p>
      <w:pPr>
        <w:pStyle w:val="48"/>
        <w:spacing w:line="540" w:lineRule="exact"/>
        <w:jc w:val="center"/>
        <w:rPr>
          <w:rFonts w:ascii="华文中宋" w:hAnsi="华文中宋" w:eastAsia="华文中宋" w:cs="华文中宋"/>
          <w:b/>
          <w:bCs/>
          <w:color w:val="auto"/>
          <w:kern w:val="0"/>
          <w:sz w:val="52"/>
          <w:szCs w:val="52"/>
        </w:rPr>
      </w:pPr>
    </w:p>
    <w:p>
      <w:pPr>
        <w:pStyle w:val="48"/>
        <w:spacing w:line="540" w:lineRule="exact"/>
        <w:jc w:val="center"/>
        <w:rPr>
          <w:rFonts w:ascii="华文中宋" w:hAnsi="华文中宋" w:eastAsia="华文中宋" w:cs="华文中宋"/>
          <w:b/>
          <w:bCs/>
          <w:color w:val="auto"/>
          <w:kern w:val="0"/>
          <w:sz w:val="52"/>
          <w:szCs w:val="52"/>
        </w:rPr>
      </w:pPr>
    </w:p>
    <w:p>
      <w:pPr>
        <w:pStyle w:val="48"/>
        <w:spacing w:line="540" w:lineRule="exact"/>
        <w:jc w:val="center"/>
        <w:rPr>
          <w:rFonts w:ascii="华文中宋" w:hAnsi="华文中宋" w:eastAsia="华文中宋" w:cs="华文中宋"/>
          <w:b/>
          <w:bCs/>
          <w:color w:val="auto"/>
          <w:kern w:val="0"/>
          <w:sz w:val="52"/>
          <w:szCs w:val="52"/>
        </w:rPr>
      </w:pPr>
    </w:p>
    <w:p>
      <w:pPr>
        <w:pStyle w:val="48"/>
        <w:spacing w:line="540" w:lineRule="exact"/>
        <w:jc w:val="center"/>
        <w:rPr>
          <w:rFonts w:ascii="华文中宋" w:hAnsi="华文中宋" w:eastAsia="华文中宋" w:cs="华文中宋"/>
          <w:b/>
          <w:bCs/>
          <w:color w:val="auto"/>
          <w:kern w:val="0"/>
          <w:sz w:val="52"/>
          <w:szCs w:val="52"/>
        </w:rPr>
      </w:pPr>
    </w:p>
    <w:p>
      <w:pPr>
        <w:pStyle w:val="48"/>
        <w:spacing w:line="540" w:lineRule="exact"/>
        <w:jc w:val="center"/>
        <w:rPr>
          <w:rFonts w:ascii="华文中宋" w:hAnsi="华文中宋" w:eastAsia="华文中宋" w:cs="华文中宋"/>
          <w:b/>
          <w:bCs/>
          <w:color w:val="auto"/>
          <w:kern w:val="0"/>
          <w:sz w:val="52"/>
          <w:szCs w:val="52"/>
        </w:rPr>
      </w:pPr>
    </w:p>
    <w:p>
      <w:pPr>
        <w:pStyle w:val="48"/>
        <w:spacing w:line="540" w:lineRule="exact"/>
        <w:jc w:val="center"/>
        <w:rPr>
          <w:rFonts w:ascii="华文中宋" w:hAnsi="华文中宋" w:eastAsia="华文中宋" w:cs="华文中宋"/>
          <w:b/>
          <w:bCs/>
          <w:color w:val="auto"/>
          <w:kern w:val="0"/>
          <w:sz w:val="52"/>
          <w:szCs w:val="52"/>
        </w:rPr>
      </w:pPr>
    </w:p>
    <w:p>
      <w:pPr>
        <w:pStyle w:val="48"/>
        <w:spacing w:line="540" w:lineRule="exact"/>
        <w:jc w:val="center"/>
        <w:rPr>
          <w:rFonts w:ascii="华文中宋" w:hAnsi="华文中宋" w:eastAsia="华文中宋" w:cs="华文中宋"/>
          <w:b/>
          <w:bCs/>
          <w:color w:val="auto"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color w:val="auto"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color w:val="auto"/>
          <w:kern w:val="0"/>
          <w:sz w:val="48"/>
          <w:szCs w:val="48"/>
        </w:rPr>
        <w:t>自治区财政项目支出绩效自评报告</w:t>
      </w:r>
    </w:p>
    <w:p>
      <w:pPr>
        <w:pStyle w:val="48"/>
        <w:spacing w:line="540" w:lineRule="exact"/>
        <w:jc w:val="center"/>
        <w:rPr>
          <w:rFonts w:ascii="华文中宋" w:hAnsi="华文中宋" w:eastAsia="华文中宋" w:cs="华文中宋"/>
          <w:b/>
          <w:bCs/>
          <w:color w:val="auto"/>
          <w:kern w:val="0"/>
          <w:sz w:val="52"/>
          <w:szCs w:val="52"/>
        </w:rPr>
      </w:pPr>
    </w:p>
    <w:p>
      <w:pPr>
        <w:pStyle w:val="48"/>
        <w:spacing w:line="540" w:lineRule="exact"/>
        <w:jc w:val="center"/>
        <w:rPr>
          <w:color w:val="auto"/>
          <w:kern w:val="0"/>
          <w:sz w:val="36"/>
          <w:szCs w:val="36"/>
          <w:lang w:val="zh-TW" w:eastAsia="zh-TW"/>
        </w:rPr>
      </w:pPr>
      <w:r>
        <w:rPr>
          <w:rFonts w:ascii="仿宋_GB2312" w:hAnsi="仿宋_GB2312" w:eastAsia="仿宋_GB2312" w:cs="仿宋_GB2312"/>
          <w:color w:val="auto"/>
          <w:kern w:val="0"/>
          <w:sz w:val="36"/>
          <w:szCs w:val="36"/>
          <w:lang w:val="zh-TW" w:eastAsia="zh-TW"/>
        </w:rPr>
        <w:t>（201</w:t>
      </w:r>
      <w:r>
        <w:rPr>
          <w:rFonts w:hint="eastAsia" w:ascii="仿宋_GB2312" w:hAnsi="仿宋_GB2312" w:eastAsia="仿宋_GB2312" w:cs="仿宋_GB2312"/>
          <w:color w:val="auto"/>
          <w:kern w:val="0"/>
          <w:sz w:val="36"/>
          <w:szCs w:val="36"/>
          <w:lang w:val="en-US" w:eastAsia="zh-CN"/>
        </w:rPr>
        <w:t>9</w:t>
      </w:r>
      <w:r>
        <w:rPr>
          <w:rFonts w:ascii="仿宋_GB2312" w:hAnsi="仿宋_GB2312" w:eastAsia="仿宋_GB2312" w:cs="仿宋_GB2312"/>
          <w:color w:val="auto"/>
          <w:kern w:val="0"/>
          <w:sz w:val="36"/>
          <w:szCs w:val="36"/>
          <w:lang w:val="zh-TW" w:eastAsia="zh-TW"/>
        </w:rPr>
        <w:t>年度）</w:t>
      </w:r>
    </w:p>
    <w:p>
      <w:pPr>
        <w:pStyle w:val="48"/>
        <w:spacing w:line="540" w:lineRule="exact"/>
        <w:jc w:val="center"/>
        <w:rPr>
          <w:color w:val="auto"/>
          <w:kern w:val="0"/>
          <w:sz w:val="30"/>
          <w:szCs w:val="30"/>
        </w:rPr>
      </w:pPr>
    </w:p>
    <w:p>
      <w:pPr>
        <w:pStyle w:val="48"/>
        <w:spacing w:line="540" w:lineRule="exact"/>
        <w:jc w:val="center"/>
        <w:rPr>
          <w:color w:val="auto"/>
          <w:kern w:val="0"/>
          <w:sz w:val="30"/>
          <w:szCs w:val="30"/>
        </w:rPr>
      </w:pPr>
    </w:p>
    <w:p>
      <w:pPr>
        <w:pStyle w:val="48"/>
        <w:spacing w:line="540" w:lineRule="exact"/>
        <w:jc w:val="center"/>
        <w:rPr>
          <w:color w:val="auto"/>
          <w:kern w:val="0"/>
          <w:sz w:val="30"/>
          <w:szCs w:val="30"/>
        </w:rPr>
      </w:pPr>
    </w:p>
    <w:p>
      <w:pPr>
        <w:pStyle w:val="48"/>
        <w:spacing w:line="540" w:lineRule="exact"/>
        <w:jc w:val="center"/>
        <w:rPr>
          <w:color w:val="auto"/>
          <w:kern w:val="0"/>
          <w:sz w:val="30"/>
          <w:szCs w:val="30"/>
        </w:rPr>
      </w:pPr>
    </w:p>
    <w:p>
      <w:pPr>
        <w:pStyle w:val="48"/>
        <w:spacing w:line="540" w:lineRule="exact"/>
        <w:jc w:val="center"/>
        <w:rPr>
          <w:color w:val="auto"/>
          <w:kern w:val="0"/>
          <w:sz w:val="30"/>
          <w:szCs w:val="30"/>
        </w:rPr>
      </w:pPr>
    </w:p>
    <w:p>
      <w:pPr>
        <w:pStyle w:val="48"/>
        <w:spacing w:line="540" w:lineRule="exact"/>
        <w:rPr>
          <w:color w:val="auto"/>
          <w:kern w:val="0"/>
          <w:sz w:val="30"/>
          <w:szCs w:val="30"/>
        </w:rPr>
      </w:pPr>
    </w:p>
    <w:p>
      <w:pPr>
        <w:pStyle w:val="48"/>
        <w:spacing w:line="540" w:lineRule="exact"/>
        <w:rPr>
          <w:color w:val="auto"/>
          <w:kern w:val="0"/>
          <w:sz w:val="30"/>
          <w:szCs w:val="30"/>
        </w:rPr>
      </w:pPr>
    </w:p>
    <w:p>
      <w:pPr>
        <w:pStyle w:val="48"/>
        <w:spacing w:line="700" w:lineRule="exact"/>
        <w:ind w:firstLine="720" w:firstLineChars="200"/>
        <w:jc w:val="left"/>
        <w:rPr>
          <w:rFonts w:hint="eastAsia" w:ascii="仿宋_GB2312" w:hAnsi="仿宋_GB2312" w:eastAsia="仿宋_GB2312" w:cs="仿宋_GB2312"/>
          <w:color w:val="auto"/>
          <w:kern w:val="0"/>
          <w:sz w:val="36"/>
          <w:szCs w:val="36"/>
          <w:lang w:val="zh-TW" w:eastAsia="zh-CN"/>
        </w:rPr>
      </w:pPr>
      <w:r>
        <w:rPr>
          <w:rFonts w:ascii="仿宋_GB2312" w:hAnsi="仿宋_GB2312" w:eastAsia="仿宋_GB2312" w:cs="仿宋_GB2312"/>
          <w:color w:val="auto"/>
          <w:kern w:val="0"/>
          <w:sz w:val="36"/>
          <w:szCs w:val="36"/>
          <w:lang w:val="zh-TW" w:eastAsia="zh-TW"/>
        </w:rPr>
        <w:t>项目名称：</w:t>
      </w:r>
      <w:r>
        <w:rPr>
          <w:rFonts w:hint="eastAsia" w:ascii="仿宋_GB2312" w:hAnsi="仿宋_GB2312" w:eastAsia="仿宋_GB2312" w:cs="仿宋_GB2312"/>
          <w:color w:val="auto"/>
          <w:kern w:val="0"/>
          <w:sz w:val="36"/>
          <w:szCs w:val="36"/>
          <w:lang w:val="zh-TW" w:eastAsia="zh-CN"/>
        </w:rPr>
        <w:t>2019年食品药品监管补助资金</w:t>
      </w:r>
    </w:p>
    <w:p>
      <w:pPr>
        <w:pStyle w:val="48"/>
        <w:spacing w:line="700" w:lineRule="exact"/>
        <w:ind w:firstLine="720" w:firstLineChars="200"/>
        <w:jc w:val="left"/>
        <w:rPr>
          <w:rFonts w:hint="eastAsia" w:ascii="仿宋_GB2312" w:hAnsi="仿宋_GB2312" w:eastAsia="仿宋_GB2312" w:cs="仿宋_GB2312"/>
          <w:color w:val="auto"/>
          <w:kern w:val="0"/>
          <w:sz w:val="36"/>
          <w:szCs w:val="36"/>
          <w:lang w:val="zh-TW" w:eastAsia="zh-CN"/>
        </w:rPr>
      </w:pPr>
      <w:r>
        <w:rPr>
          <w:rFonts w:ascii="仿宋_GB2312" w:hAnsi="仿宋_GB2312" w:eastAsia="仿宋_GB2312" w:cs="仿宋_GB2312"/>
          <w:color w:val="auto"/>
          <w:kern w:val="0"/>
          <w:sz w:val="36"/>
          <w:szCs w:val="36"/>
          <w:lang w:val="zh-TW" w:eastAsia="zh-TW"/>
        </w:rPr>
        <w:t>实施单位（公章）：</w:t>
      </w:r>
      <w:r>
        <w:rPr>
          <w:rFonts w:hint="eastAsia" w:ascii="仿宋_GB2312" w:hAnsi="仿宋_GB2312" w:eastAsia="仿宋_GB2312" w:cs="仿宋_GB2312"/>
          <w:color w:val="auto"/>
          <w:kern w:val="0"/>
          <w:sz w:val="36"/>
          <w:szCs w:val="36"/>
          <w:lang w:val="zh-TW" w:eastAsia="zh-CN"/>
        </w:rPr>
        <w:t>泽普县市场监督管理局</w:t>
      </w:r>
    </w:p>
    <w:p>
      <w:pPr>
        <w:pStyle w:val="48"/>
        <w:spacing w:line="700" w:lineRule="exact"/>
        <w:ind w:firstLine="720" w:firstLineChars="200"/>
        <w:jc w:val="left"/>
        <w:rPr>
          <w:color w:val="auto"/>
          <w:kern w:val="0"/>
          <w:sz w:val="36"/>
          <w:szCs w:val="36"/>
          <w:lang w:val="zh-TW" w:eastAsia="zh-TW"/>
        </w:rPr>
      </w:pPr>
      <w:r>
        <w:rPr>
          <w:rFonts w:ascii="仿宋_GB2312" w:hAnsi="仿宋_GB2312" w:eastAsia="仿宋_GB2312" w:cs="仿宋_GB2312"/>
          <w:color w:val="auto"/>
          <w:kern w:val="0"/>
          <w:sz w:val="36"/>
          <w:szCs w:val="36"/>
          <w:lang w:val="zh-TW" w:eastAsia="zh-TW"/>
        </w:rPr>
        <w:t>主管部门（公章）：</w:t>
      </w:r>
    </w:p>
    <w:p>
      <w:pPr>
        <w:pStyle w:val="48"/>
        <w:spacing w:line="700" w:lineRule="exact"/>
        <w:ind w:firstLine="720" w:firstLineChars="200"/>
        <w:jc w:val="left"/>
        <w:rPr>
          <w:rFonts w:hint="eastAsia" w:ascii="仿宋_GB2312" w:hAnsi="仿宋_GB2312" w:eastAsia="仿宋_GB2312" w:cs="仿宋_GB2312"/>
          <w:color w:val="auto"/>
          <w:kern w:val="0"/>
          <w:sz w:val="36"/>
          <w:szCs w:val="36"/>
          <w:lang w:val="zh-TW" w:eastAsia="zh-CN"/>
        </w:rPr>
      </w:pPr>
      <w:r>
        <w:rPr>
          <w:rFonts w:ascii="仿宋_GB2312" w:hAnsi="仿宋_GB2312" w:eastAsia="仿宋_GB2312" w:cs="仿宋_GB2312"/>
          <w:color w:val="auto"/>
          <w:kern w:val="0"/>
          <w:sz w:val="36"/>
          <w:szCs w:val="36"/>
          <w:lang w:val="zh-TW" w:eastAsia="zh-TW"/>
        </w:rPr>
        <w:t>项目负责人（签章）：</w:t>
      </w:r>
      <w:r>
        <w:rPr>
          <w:rFonts w:hint="eastAsia" w:ascii="仿宋_GB2312" w:hAnsi="仿宋_GB2312" w:eastAsia="仿宋_GB2312" w:cs="仿宋_GB2312"/>
          <w:color w:val="auto"/>
          <w:kern w:val="0"/>
          <w:sz w:val="36"/>
          <w:szCs w:val="36"/>
          <w:lang w:val="zh-TW" w:eastAsia="zh-CN"/>
        </w:rPr>
        <w:t>张勇</w:t>
      </w:r>
      <w:bookmarkStart w:id="0" w:name="_GoBack"/>
      <w:bookmarkEnd w:id="0"/>
    </w:p>
    <w:p>
      <w:pPr>
        <w:pStyle w:val="48"/>
        <w:spacing w:line="700" w:lineRule="exact"/>
        <w:ind w:firstLine="720" w:firstLineChars="200"/>
        <w:jc w:val="left"/>
        <w:rPr>
          <w:rFonts w:ascii="仿宋_GB2312" w:hAnsi="仿宋_GB2312" w:eastAsia="仿宋_GB2312" w:cs="仿宋_GB2312"/>
          <w:color w:val="auto"/>
          <w:kern w:val="0"/>
          <w:sz w:val="36"/>
          <w:szCs w:val="36"/>
          <w:lang w:val="zh-TW"/>
        </w:rPr>
      </w:pPr>
      <w:r>
        <w:rPr>
          <w:rFonts w:ascii="仿宋_GB2312" w:hAnsi="仿宋_GB2312" w:eastAsia="仿宋_GB2312" w:cs="仿宋_GB2312"/>
          <w:color w:val="auto"/>
          <w:kern w:val="0"/>
          <w:sz w:val="36"/>
          <w:szCs w:val="36"/>
          <w:lang w:val="zh-TW" w:eastAsia="zh-TW"/>
        </w:rPr>
        <w:t>填报时间：20</w:t>
      </w:r>
      <w:r>
        <w:rPr>
          <w:rFonts w:hint="eastAsia" w:ascii="仿宋_GB2312" w:hAnsi="仿宋_GB2312" w:eastAsia="仿宋_GB2312" w:cs="仿宋_GB2312"/>
          <w:color w:val="auto"/>
          <w:kern w:val="0"/>
          <w:sz w:val="36"/>
          <w:szCs w:val="36"/>
          <w:lang w:val="en-US" w:eastAsia="zh-CN"/>
        </w:rPr>
        <w:t>20</w:t>
      </w:r>
      <w:r>
        <w:rPr>
          <w:rFonts w:ascii="仿宋_GB2312" w:hAnsi="仿宋_GB2312" w:eastAsia="仿宋_GB2312" w:cs="仿宋_GB2312"/>
          <w:color w:val="auto"/>
          <w:kern w:val="0"/>
          <w:sz w:val="36"/>
          <w:szCs w:val="36"/>
          <w:lang w:val="zh-TW" w:eastAsia="zh-TW"/>
        </w:rPr>
        <w:t>年</w:t>
      </w:r>
      <w:r>
        <w:rPr>
          <w:rFonts w:hint="eastAsia" w:ascii="仿宋_GB2312" w:hAnsi="仿宋_GB2312" w:eastAsia="仿宋_GB2312" w:cs="仿宋_GB2312"/>
          <w:color w:val="auto"/>
          <w:kern w:val="0"/>
          <w:sz w:val="36"/>
          <w:szCs w:val="36"/>
          <w:lang w:val="en-US" w:eastAsia="zh-CN"/>
        </w:rPr>
        <w:t>1</w:t>
      </w:r>
      <w:r>
        <w:rPr>
          <w:rFonts w:ascii="仿宋_GB2312" w:hAnsi="仿宋_GB2312" w:eastAsia="仿宋_GB2312" w:cs="仿宋_GB2312"/>
          <w:color w:val="auto"/>
          <w:kern w:val="0"/>
          <w:sz w:val="36"/>
          <w:szCs w:val="36"/>
          <w:lang w:val="zh-TW" w:eastAsia="zh-TW"/>
        </w:rPr>
        <w:t>月</w:t>
      </w:r>
      <w:r>
        <w:rPr>
          <w:rFonts w:hint="eastAsia" w:ascii="仿宋_GB2312" w:hAnsi="仿宋_GB2312" w:eastAsia="仿宋_GB2312" w:cs="仿宋_GB2312"/>
          <w:color w:val="auto"/>
          <w:kern w:val="0"/>
          <w:sz w:val="36"/>
          <w:szCs w:val="36"/>
          <w:lang w:val="en-US" w:eastAsia="zh-CN"/>
        </w:rPr>
        <w:t>8</w:t>
      </w:r>
      <w:r>
        <w:rPr>
          <w:rFonts w:ascii="仿宋_GB2312" w:hAnsi="仿宋_GB2312" w:eastAsia="仿宋_GB2312" w:cs="仿宋_GB2312"/>
          <w:color w:val="auto"/>
          <w:kern w:val="0"/>
          <w:sz w:val="36"/>
          <w:szCs w:val="36"/>
          <w:lang w:val="zh-TW" w:eastAsia="zh-TW"/>
        </w:rPr>
        <w:t>日</w:t>
      </w:r>
    </w:p>
    <w:p>
      <w:pPr>
        <w:pStyle w:val="48"/>
        <w:spacing w:line="700" w:lineRule="exact"/>
        <w:ind w:firstLine="624" w:firstLineChars="200"/>
        <w:jc w:val="left"/>
        <w:rPr>
          <w:rStyle w:val="18"/>
          <w:rFonts w:ascii="黑体" w:hAnsi="黑体" w:eastAsia="黑体"/>
          <w:b w:val="0"/>
          <w:color w:val="auto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color w:val="auto"/>
          <w:spacing w:val="-4"/>
          <w:sz w:val="32"/>
          <w:szCs w:val="32"/>
        </w:rPr>
        <w:t>一、项目概况</w:t>
      </w:r>
    </w:p>
    <w:p>
      <w:pPr>
        <w:adjustRightInd w:val="0"/>
        <w:snapToGrid w:val="0"/>
        <w:spacing w:line="560" w:lineRule="exact"/>
        <w:ind w:firstLine="627" w:firstLineChars="200"/>
        <w:rPr>
          <w:rStyle w:val="18"/>
          <w:rFonts w:ascii="楷体" w:hAnsi="楷体" w:eastAsia="楷体"/>
          <w:color w:val="auto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color w:val="auto"/>
          <w:spacing w:val="-4"/>
          <w:sz w:val="32"/>
          <w:szCs w:val="32"/>
        </w:rPr>
        <w:t>（一）项目单位基本情况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hint="eastAsia" w:ascii="仿宋" w:hAnsi="仿宋" w:eastAsia="仿宋"/>
          <w:b w:val="0"/>
          <w:color w:val="auto"/>
          <w:spacing w:val="-4"/>
          <w:sz w:val="32"/>
          <w:szCs w:val="32"/>
          <w:lang w:val="en-US" w:eastAsia="zh-CN"/>
        </w:rPr>
      </w:pPr>
      <w:r>
        <w:rPr>
          <w:rStyle w:val="18"/>
          <w:rFonts w:hint="eastAsia" w:ascii="仿宋" w:hAnsi="仿宋" w:eastAsia="仿宋"/>
          <w:b w:val="0"/>
          <w:color w:val="auto"/>
          <w:spacing w:val="-4"/>
          <w:sz w:val="32"/>
          <w:szCs w:val="32"/>
          <w:lang w:eastAsia="zh-CN"/>
        </w:rPr>
        <w:t>泽普县市场监督管理局在县委、县人民政府的坚强领导下，充分发挥市场监督管理职能，全面深化改革，以保障食品药品安全为重点，不断提升工作效能，狠抓工作落实。</w:t>
      </w:r>
    </w:p>
    <w:p>
      <w:pPr>
        <w:adjustRightInd w:val="0"/>
        <w:snapToGrid w:val="0"/>
        <w:spacing w:line="560" w:lineRule="exact"/>
        <w:ind w:firstLine="627" w:firstLineChars="200"/>
        <w:rPr>
          <w:rStyle w:val="18"/>
          <w:rFonts w:ascii="楷体" w:hAnsi="楷体" w:eastAsia="楷体"/>
          <w:color w:val="auto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color w:val="auto"/>
          <w:spacing w:val="-4"/>
          <w:sz w:val="32"/>
          <w:szCs w:val="32"/>
        </w:rPr>
        <w:t>（二）项目预算</w:t>
      </w:r>
      <w:r>
        <w:rPr>
          <w:rStyle w:val="18"/>
          <w:rFonts w:ascii="楷体" w:hAnsi="楷体" w:eastAsia="楷体"/>
          <w:color w:val="auto"/>
          <w:spacing w:val="-4"/>
          <w:sz w:val="32"/>
          <w:szCs w:val="32"/>
        </w:rPr>
        <w:t>绩效目标</w:t>
      </w:r>
      <w:r>
        <w:rPr>
          <w:rStyle w:val="18"/>
          <w:rFonts w:hint="eastAsia" w:ascii="楷体" w:hAnsi="楷体" w:eastAsia="楷体"/>
          <w:color w:val="auto"/>
          <w:spacing w:val="-4"/>
          <w:sz w:val="32"/>
          <w:szCs w:val="32"/>
        </w:rPr>
        <w:t>设定情况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/>
          <w:bCs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/>
          <w:b/>
          <w:bCs/>
          <w:color w:val="auto"/>
          <w:spacing w:val="-4"/>
          <w:sz w:val="32"/>
          <w:szCs w:val="32"/>
        </w:rPr>
        <w:t>1、项目预期目标及阶段性目标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对食品生产企业安全生产监管水平显著提升，群众满意度显著提高，食品安全得到有效保障。“两品一械”总体水平不断提高，假冒伪劣制售行为不断降低，药品监管水平显著提升。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/>
          <w:bCs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/>
          <w:b/>
          <w:bCs/>
          <w:color w:val="auto"/>
          <w:spacing w:val="-4"/>
          <w:sz w:val="32"/>
          <w:szCs w:val="32"/>
        </w:rPr>
        <w:t>2、项目基本性质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本项目性质为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lang w:eastAsia="zh-CN"/>
        </w:rPr>
        <w:t>延续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项目。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/>
          <w:bCs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/>
          <w:b/>
          <w:bCs/>
          <w:color w:val="auto"/>
          <w:spacing w:val="-4"/>
          <w:sz w:val="32"/>
          <w:szCs w:val="32"/>
        </w:rPr>
        <w:t>3、项目用途及范围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对我县辖区内所有食品生产、销售企业、个体工商户，生产、销售的食品进行日常监督管理，办理了2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lang w:val="en-US" w:eastAsia="zh-CN"/>
        </w:rPr>
        <w:t>85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户食品经营许可证，检查集贸市场16个，餐饮单位800余家，对我县食用农产品进行抽样检测，完成食用农产品进行抽样检测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lang w:val="en-US" w:eastAsia="zh-CN"/>
        </w:rPr>
        <w:t>339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批次。对我县68家医疗机构，62家药品零售单位及1家药品生产企业进行检查。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8"/>
          <w:rFonts w:ascii="黑体" w:hAnsi="黑体" w:eastAsia="黑体"/>
          <w:b w:val="0"/>
          <w:color w:val="auto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color w:val="auto"/>
          <w:spacing w:val="-4"/>
          <w:sz w:val="32"/>
          <w:szCs w:val="32"/>
        </w:rPr>
        <w:t>二、项目资金使用及管理情况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8"/>
          <w:rFonts w:ascii="楷体" w:hAnsi="楷体" w:eastAsia="楷体"/>
          <w:color w:val="auto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color w:val="auto"/>
          <w:spacing w:val="-4"/>
          <w:sz w:val="32"/>
          <w:szCs w:val="32"/>
        </w:rPr>
        <w:t>（一）项目资金安排落实、总投入等情况分析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/>
          <w:bCs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2019年食品药品监管补助资金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项目预算安排总额为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lang w:val="en-US" w:eastAsia="zh-CN"/>
        </w:rPr>
        <w:t>0.90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万元，其中使用中央补助资金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lang w:val="en-US" w:eastAsia="zh-CN"/>
        </w:rPr>
        <w:t>0.15万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元，自治区补助资金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lang w:val="en-US" w:eastAsia="zh-CN"/>
        </w:rPr>
        <w:t>0.75万元，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201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年实际收到预算资金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lang w:val="en-US" w:eastAsia="zh-CN"/>
        </w:rPr>
        <w:t>0.90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万元。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8"/>
          <w:rFonts w:ascii="楷体" w:hAnsi="楷体" w:eastAsia="楷体"/>
          <w:color w:val="auto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color w:val="auto"/>
          <w:spacing w:val="-4"/>
          <w:sz w:val="32"/>
          <w:szCs w:val="32"/>
        </w:rPr>
        <w:t>（二）项目资金实际使用情况分析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本项目实际支付资金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lang w:val="en-US" w:eastAsia="zh-CN"/>
        </w:rPr>
        <w:t>0.90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万元，预算执行率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lang w:val="en-US" w:eastAsia="zh-CN"/>
        </w:rPr>
        <w:t>100</w:t>
      </w:r>
      <w:r>
        <w:rPr>
          <w:rFonts w:ascii="仿宋" w:hAnsi="仿宋" w:eastAsia="仿宋"/>
          <w:bCs/>
          <w:color w:val="auto"/>
          <w:spacing w:val="-4"/>
          <w:sz w:val="32"/>
          <w:szCs w:val="32"/>
        </w:rPr>
        <w:t>%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项目资金主要用于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食品抽样、药品抽样及医疗器械抽样。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8"/>
          <w:rFonts w:ascii="楷体" w:hAnsi="楷体" w:eastAsia="楷体"/>
          <w:color w:val="auto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color w:val="auto"/>
          <w:spacing w:val="-4"/>
          <w:sz w:val="32"/>
          <w:szCs w:val="32"/>
        </w:rPr>
        <w:t>（三）项目资金管理情况分析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" w:hAnsi="仿宋" w:eastAsia="仿宋"/>
          <w:b w:val="0"/>
          <w:bCs w:val="0"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本项目支出符合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lang w:eastAsia="zh-CN"/>
        </w:rPr>
        <w:t>泽普县市场监督管理局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相关财务管理制度，包括会计人员集中核算工作管理制度、财务收支审批制度、财务稽核制度、财务牵制制度、会计主管岗位职责等制度规定，资金的拨付有完整的审批程序和手续，不存在截留、挤占、挪用等情况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8"/>
          <w:rFonts w:ascii="黑体" w:hAnsi="黑体" w:eastAsia="黑体"/>
          <w:b w:val="0"/>
          <w:color w:val="auto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color w:val="auto"/>
          <w:spacing w:val="-4"/>
          <w:sz w:val="32"/>
          <w:szCs w:val="32"/>
        </w:rPr>
        <w:t>三、项目组织实施情况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8"/>
          <w:rFonts w:ascii="楷体" w:hAnsi="楷体" w:eastAsia="楷体"/>
          <w:color w:val="auto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color w:val="auto"/>
          <w:spacing w:val="-4"/>
          <w:sz w:val="32"/>
          <w:szCs w:val="32"/>
        </w:rPr>
        <w:t>（一）项目组织情况分析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" w:hAnsi="仿宋" w:eastAsia="仿宋"/>
          <w:b w:val="0"/>
          <w:color w:val="auto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color w:val="auto"/>
          <w:spacing w:val="-4"/>
          <w:sz w:val="32"/>
          <w:szCs w:val="32"/>
        </w:rPr>
        <w:t>该项目属于经常性零星项目,没有达到招投标限额,由本单位自行组织实施。实施过程均按照本单位制定的管理制度执行。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" w:hAnsi="仿宋" w:eastAsia="仿宋"/>
          <w:b w:val="0"/>
          <w:color w:val="auto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color w:val="auto"/>
          <w:spacing w:val="-4"/>
          <w:sz w:val="32"/>
          <w:szCs w:val="32"/>
        </w:rPr>
        <w:t>本项目不存在调整情况。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8"/>
          <w:rFonts w:ascii="楷体" w:hAnsi="楷体" w:eastAsia="楷体"/>
          <w:color w:val="auto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color w:val="auto"/>
          <w:spacing w:val="-4"/>
          <w:sz w:val="32"/>
          <w:szCs w:val="32"/>
        </w:rPr>
        <w:t>（二）项目管理情况分析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hint="eastAsia" w:ascii="仿宋" w:hAnsi="仿宋" w:eastAsia="仿宋"/>
          <w:b w:val="0"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项目实施过程中，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lang w:eastAsia="zh-CN"/>
        </w:rPr>
        <w:t>泽普县市场监督管理局指定人员对该项目负责监督、检查，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不定期对项目进度情况进行检查，对检查过程中发现的问题及时督促整改，确保了项目按时保质完成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lang w:eastAsia="zh-CN"/>
        </w:rPr>
        <w:t>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8"/>
          <w:rFonts w:ascii="黑体" w:hAnsi="黑体" w:eastAsia="黑体"/>
          <w:color w:val="auto"/>
        </w:rPr>
      </w:pPr>
      <w:r>
        <w:rPr>
          <w:rStyle w:val="18"/>
          <w:rFonts w:hint="eastAsia" w:ascii="黑体" w:hAnsi="黑体" w:eastAsia="黑体"/>
          <w:b w:val="0"/>
          <w:color w:val="auto"/>
          <w:spacing w:val="-4"/>
          <w:sz w:val="32"/>
          <w:szCs w:val="32"/>
        </w:rPr>
        <w:t>四、项目绩效情况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8"/>
          <w:rFonts w:ascii="楷体" w:hAnsi="楷体" w:eastAsia="楷体"/>
          <w:bCs w:val="0"/>
          <w:color w:val="auto"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color w:val="auto"/>
          <w:spacing w:val="-4"/>
          <w:sz w:val="32"/>
          <w:szCs w:val="32"/>
        </w:rPr>
        <w:t>（一）项目绩效目标完成情况分析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color w:val="auto"/>
          <w:spacing w:val="-4"/>
          <w:sz w:val="32"/>
          <w:szCs w:val="32"/>
        </w:rPr>
      </w:pPr>
      <w:r>
        <w:rPr>
          <w:rFonts w:ascii="仿宋" w:hAnsi="仿宋" w:eastAsia="仿宋"/>
          <w:bCs/>
          <w:color w:val="auto"/>
          <w:spacing w:val="-4"/>
          <w:sz w:val="32"/>
          <w:szCs w:val="32"/>
        </w:rPr>
        <w:t>本项目共设置一级指标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lang w:val="en-US" w:eastAsia="zh-CN"/>
        </w:rPr>
        <w:t>3</w:t>
      </w:r>
      <w:r>
        <w:rPr>
          <w:rFonts w:ascii="仿宋" w:hAnsi="仿宋" w:eastAsia="仿宋"/>
          <w:bCs/>
          <w:color w:val="auto"/>
          <w:spacing w:val="-4"/>
          <w:sz w:val="32"/>
          <w:szCs w:val="32"/>
        </w:rPr>
        <w:t>个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，</w:t>
      </w:r>
      <w:r>
        <w:rPr>
          <w:rFonts w:ascii="仿宋" w:hAnsi="仿宋" w:eastAsia="仿宋"/>
          <w:bCs/>
          <w:color w:val="auto"/>
          <w:spacing w:val="-4"/>
          <w:sz w:val="32"/>
          <w:szCs w:val="32"/>
        </w:rPr>
        <w:t>二级指标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lang w:val="en-US" w:eastAsia="zh-CN"/>
        </w:rPr>
        <w:t>7</w:t>
      </w:r>
      <w:r>
        <w:rPr>
          <w:rFonts w:ascii="仿宋" w:hAnsi="仿宋" w:eastAsia="仿宋"/>
          <w:bCs/>
          <w:color w:val="auto"/>
          <w:spacing w:val="-4"/>
          <w:sz w:val="32"/>
          <w:szCs w:val="32"/>
        </w:rPr>
        <w:t>个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，</w:t>
      </w:r>
      <w:r>
        <w:rPr>
          <w:rFonts w:ascii="仿宋" w:hAnsi="仿宋" w:eastAsia="仿宋"/>
          <w:bCs/>
          <w:color w:val="auto"/>
          <w:spacing w:val="-4"/>
          <w:sz w:val="32"/>
          <w:szCs w:val="32"/>
        </w:rPr>
        <w:t>三级指标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lang w:val="en-US" w:eastAsia="zh-CN"/>
        </w:rPr>
        <w:t>16</w:t>
      </w:r>
      <w:r>
        <w:rPr>
          <w:rFonts w:ascii="仿宋" w:hAnsi="仿宋" w:eastAsia="仿宋"/>
          <w:bCs/>
          <w:color w:val="auto"/>
          <w:spacing w:val="-4"/>
          <w:sz w:val="32"/>
          <w:szCs w:val="32"/>
        </w:rPr>
        <w:t>个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，其中</w:t>
      </w:r>
      <w:r>
        <w:rPr>
          <w:rFonts w:ascii="仿宋" w:hAnsi="仿宋" w:eastAsia="仿宋"/>
          <w:bCs/>
          <w:color w:val="auto"/>
          <w:spacing w:val="-4"/>
          <w:sz w:val="32"/>
          <w:szCs w:val="32"/>
        </w:rPr>
        <w:t>已完成三级指标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lang w:val="en-US" w:eastAsia="zh-CN"/>
        </w:rPr>
        <w:t>16</w:t>
      </w:r>
      <w:r>
        <w:rPr>
          <w:rFonts w:ascii="仿宋" w:hAnsi="仿宋" w:eastAsia="仿宋"/>
          <w:bCs/>
          <w:color w:val="auto"/>
          <w:spacing w:val="-4"/>
          <w:sz w:val="32"/>
          <w:szCs w:val="32"/>
        </w:rPr>
        <w:t>个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，指标完成率为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%。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hint="eastAsia" w:ascii="仿宋" w:hAnsi="仿宋" w:eastAsia="仿宋"/>
          <w:b w:val="0"/>
          <w:color w:val="auto"/>
          <w:spacing w:val="-4"/>
          <w:sz w:val="32"/>
          <w:szCs w:val="32"/>
          <w:lang w:val="en-US" w:eastAsia="zh-CN"/>
        </w:rPr>
      </w:pPr>
      <w:r>
        <w:rPr>
          <w:rStyle w:val="18"/>
          <w:rFonts w:hint="eastAsia" w:ascii="仿宋" w:hAnsi="仿宋" w:eastAsia="仿宋"/>
          <w:b w:val="0"/>
          <w:color w:val="auto"/>
          <w:spacing w:val="-4"/>
          <w:sz w:val="32"/>
          <w:szCs w:val="32"/>
        </w:rPr>
        <w:t>效率性：</w:t>
      </w:r>
      <w:r>
        <w:rPr>
          <w:rStyle w:val="18"/>
          <w:rFonts w:hint="eastAsia" w:ascii="仿宋" w:hAnsi="仿宋" w:eastAsia="仿宋"/>
          <w:b w:val="0"/>
          <w:color w:val="auto"/>
          <w:spacing w:val="-4"/>
          <w:sz w:val="32"/>
          <w:szCs w:val="32"/>
          <w:lang w:eastAsia="zh-CN"/>
        </w:rPr>
        <w:t>长期坚持，有效提高</w:t>
      </w:r>
      <w:r>
        <w:rPr>
          <w:rStyle w:val="18"/>
          <w:rFonts w:hint="eastAsia" w:ascii="仿宋" w:hAnsi="仿宋" w:eastAsia="仿宋"/>
          <w:b w:val="0"/>
          <w:color w:val="auto"/>
          <w:spacing w:val="-4"/>
          <w:sz w:val="32"/>
          <w:szCs w:val="32"/>
          <w:lang w:val="en-US" w:eastAsia="zh-CN"/>
        </w:rPr>
        <w:t>。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/>
          <w:bCs/>
          <w:color w:val="auto"/>
          <w:spacing w:val="-4"/>
          <w:sz w:val="32"/>
          <w:szCs w:val="32"/>
          <w:lang w:eastAsia="zh-CN"/>
        </w:rPr>
      </w:pPr>
      <w:r>
        <w:rPr>
          <w:rStyle w:val="18"/>
          <w:rFonts w:hint="eastAsia" w:ascii="仿宋" w:hAnsi="仿宋" w:eastAsia="仿宋"/>
          <w:b w:val="0"/>
          <w:color w:val="auto"/>
          <w:spacing w:val="-4"/>
          <w:sz w:val="32"/>
          <w:szCs w:val="32"/>
        </w:rPr>
        <w:t>效益性：净化市场，维护市场经济秩序，有效促进了经济建设</w:t>
      </w:r>
      <w:r>
        <w:rPr>
          <w:rStyle w:val="18"/>
          <w:rFonts w:hint="eastAsia" w:ascii="仿宋" w:hAnsi="仿宋" w:eastAsia="仿宋"/>
          <w:b w:val="0"/>
          <w:color w:val="auto"/>
          <w:spacing w:val="-4"/>
          <w:sz w:val="32"/>
          <w:szCs w:val="32"/>
          <w:lang w:eastAsia="zh-CN"/>
        </w:rPr>
        <w:t>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color w:val="auto"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color w:val="auto"/>
          <w:spacing w:val="-4"/>
          <w:sz w:val="32"/>
          <w:szCs w:val="32"/>
        </w:rPr>
        <w:t>（二）项目绩效目标未完成原因分析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/>
          <w:color w:val="auto"/>
          <w:spacing w:val="-4"/>
          <w:sz w:val="32"/>
          <w:szCs w:val="32"/>
        </w:rPr>
        <w:t>不存在未完成情况</w:t>
      </w:r>
      <w:r>
        <w:rPr>
          <w:rFonts w:ascii="仿宋" w:hAnsi="仿宋" w:eastAsia="仿宋"/>
          <w:color w:val="auto"/>
          <w:spacing w:val="-4"/>
          <w:sz w:val="32"/>
          <w:szCs w:val="32"/>
        </w:rPr>
        <w:t>:</w:t>
      </w:r>
      <w:r>
        <w:rPr>
          <w:rFonts w:hint="eastAsia" w:ascii="仿宋" w:hAnsi="仿宋" w:eastAsia="仿宋"/>
          <w:color w:val="auto"/>
          <w:spacing w:val="-4"/>
          <w:sz w:val="32"/>
          <w:szCs w:val="32"/>
        </w:rPr>
        <w:t>“201</w:t>
      </w:r>
      <w:r>
        <w:rPr>
          <w:rFonts w:hint="eastAsia" w:ascii="仿宋" w:hAnsi="仿宋" w:eastAsia="仿宋"/>
          <w:color w:val="auto"/>
          <w:spacing w:val="-4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/>
          <w:color w:val="auto"/>
          <w:spacing w:val="-4"/>
          <w:sz w:val="32"/>
          <w:szCs w:val="32"/>
        </w:rPr>
        <w:t>年本项目绩效目标全部达成，不存在未完成原因分析。”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8"/>
          <w:rFonts w:ascii="黑体" w:hAnsi="黑体" w:eastAsia="黑体"/>
          <w:b w:val="0"/>
          <w:color w:val="auto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color w:val="auto"/>
          <w:spacing w:val="-4"/>
          <w:sz w:val="32"/>
          <w:szCs w:val="32"/>
        </w:rPr>
        <w:t>五、其他需要说明的问题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color w:val="auto"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color w:val="auto"/>
          <w:spacing w:val="-4"/>
          <w:sz w:val="32"/>
          <w:szCs w:val="32"/>
        </w:rPr>
        <w:t>（一）后续工作计划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color w:val="auto"/>
          <w:spacing w:val="-4"/>
          <w:sz w:val="32"/>
          <w:szCs w:val="32"/>
        </w:rPr>
      </w:pPr>
      <w:r>
        <w:rPr>
          <w:rFonts w:ascii="仿宋" w:hAnsi="仿宋" w:eastAsia="仿宋"/>
          <w:bCs/>
          <w:color w:val="auto"/>
          <w:spacing w:val="-4"/>
          <w:sz w:val="32"/>
          <w:szCs w:val="32"/>
        </w:rPr>
        <w:t>短期性项目主要分析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项目</w:t>
      </w:r>
      <w:r>
        <w:rPr>
          <w:rFonts w:ascii="仿宋" w:hAnsi="仿宋" w:eastAsia="仿宋"/>
          <w:bCs/>
          <w:color w:val="auto"/>
          <w:spacing w:val="-4"/>
          <w:sz w:val="32"/>
          <w:szCs w:val="32"/>
        </w:rPr>
        <w:t>的移交和后续管理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；</w:t>
      </w:r>
      <w:r>
        <w:rPr>
          <w:rFonts w:ascii="仿宋" w:hAnsi="仿宋" w:eastAsia="仿宋"/>
          <w:bCs/>
          <w:color w:val="auto"/>
          <w:spacing w:val="-4"/>
          <w:sz w:val="32"/>
          <w:szCs w:val="32"/>
        </w:rPr>
        <w:t>长期性项目主要分析下一年度计划及安排等。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color w:val="auto"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color w:val="auto"/>
          <w:spacing w:val="-4"/>
          <w:sz w:val="32"/>
          <w:szCs w:val="32"/>
        </w:rPr>
        <w:t>（二）主要经验及做法、存在问题和建议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color w:val="auto"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color w:val="auto"/>
          <w:spacing w:val="-4"/>
          <w:sz w:val="32"/>
          <w:szCs w:val="32"/>
        </w:rPr>
        <w:t>（三）其他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/>
          <w:color w:val="auto"/>
          <w:spacing w:val="-4"/>
          <w:sz w:val="32"/>
          <w:szCs w:val="32"/>
        </w:rPr>
        <w:t>无其他说明内容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黑体" w:hAnsi="黑体" w:eastAsia="黑体"/>
          <w:bCs/>
          <w:color w:val="auto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color w:val="auto"/>
          <w:spacing w:val="-4"/>
          <w:sz w:val="32"/>
          <w:szCs w:val="32"/>
        </w:rPr>
        <w:t>六、项目评价工作情况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/>
          <w:color w:val="auto"/>
          <w:spacing w:val="-4"/>
          <w:sz w:val="32"/>
          <w:szCs w:val="32"/>
        </w:rPr>
        <w:t>本次评价通过文件研读、实地调研、数据分析等方式，全面了解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食品药品安全监督日常监管</w:t>
      </w:r>
      <w:r>
        <w:rPr>
          <w:rFonts w:hint="eastAsia" w:ascii="仿宋" w:hAnsi="仿宋" w:eastAsia="仿宋"/>
          <w:color w:val="auto"/>
          <w:spacing w:val="-4"/>
          <w:sz w:val="32"/>
          <w:szCs w:val="32"/>
        </w:rPr>
        <w:t>资金的使用效率和效果，项目管理过程是否规范，是否完成了预期绩效目标等。同时，通过开展自我评价来总结经验和教训，为今后的开展提供参考建议。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8"/>
          <w:rFonts w:ascii="黑体" w:hAnsi="黑体" w:eastAsia="黑体"/>
          <w:b w:val="0"/>
          <w:color w:val="auto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color w:val="auto"/>
          <w:spacing w:val="-4"/>
          <w:sz w:val="32"/>
          <w:szCs w:val="32"/>
        </w:rPr>
        <w:t>七、附表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" w:hAnsi="仿宋" w:eastAsia="仿宋"/>
          <w:b w:val="0"/>
          <w:color w:val="auto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color w:val="auto"/>
          <w:spacing w:val="-4"/>
          <w:sz w:val="32"/>
          <w:szCs w:val="32"/>
        </w:rPr>
        <w:t>《项目支出绩效目标自评表》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altName w:val="楷体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">
    <w:altName w:val="Arial Unicode MS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jc w:val="center"/>
    </w:pPr>
  </w:p>
  <w:p>
    <w:pPr>
      <w:pStyle w:val="1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A6457"/>
    <w:rsid w:val="0012208E"/>
    <w:rsid w:val="00135256"/>
    <w:rsid w:val="001A4E1F"/>
    <w:rsid w:val="001A57B9"/>
    <w:rsid w:val="001C3847"/>
    <w:rsid w:val="001F3031"/>
    <w:rsid w:val="00210A26"/>
    <w:rsid w:val="002A2532"/>
    <w:rsid w:val="002A2D76"/>
    <w:rsid w:val="00365250"/>
    <w:rsid w:val="0036624C"/>
    <w:rsid w:val="00385849"/>
    <w:rsid w:val="0050167F"/>
    <w:rsid w:val="00514506"/>
    <w:rsid w:val="005162F1"/>
    <w:rsid w:val="00516E80"/>
    <w:rsid w:val="00535153"/>
    <w:rsid w:val="00575CFE"/>
    <w:rsid w:val="00583AFC"/>
    <w:rsid w:val="00592D09"/>
    <w:rsid w:val="00675D58"/>
    <w:rsid w:val="006F2E6D"/>
    <w:rsid w:val="007218B8"/>
    <w:rsid w:val="00755C6A"/>
    <w:rsid w:val="00785FDE"/>
    <w:rsid w:val="007A0351"/>
    <w:rsid w:val="007A14BC"/>
    <w:rsid w:val="007C1025"/>
    <w:rsid w:val="007E6845"/>
    <w:rsid w:val="007F5F8A"/>
    <w:rsid w:val="00826CA1"/>
    <w:rsid w:val="00835B7F"/>
    <w:rsid w:val="00855E3A"/>
    <w:rsid w:val="00922CB9"/>
    <w:rsid w:val="009350F7"/>
    <w:rsid w:val="009B526F"/>
    <w:rsid w:val="009C1AFD"/>
    <w:rsid w:val="00A26421"/>
    <w:rsid w:val="00A4293B"/>
    <w:rsid w:val="00A83BD5"/>
    <w:rsid w:val="00A977DF"/>
    <w:rsid w:val="00AE6A23"/>
    <w:rsid w:val="00B06CA5"/>
    <w:rsid w:val="00B41F61"/>
    <w:rsid w:val="00B55332"/>
    <w:rsid w:val="00B86E8C"/>
    <w:rsid w:val="00BE1A00"/>
    <w:rsid w:val="00C22CF0"/>
    <w:rsid w:val="00C56C72"/>
    <w:rsid w:val="00CA6457"/>
    <w:rsid w:val="00CC6E4D"/>
    <w:rsid w:val="00D17F2E"/>
    <w:rsid w:val="00D46194"/>
    <w:rsid w:val="00E01293"/>
    <w:rsid w:val="00E027D1"/>
    <w:rsid w:val="00E769FE"/>
    <w:rsid w:val="00EA2CBE"/>
    <w:rsid w:val="00F32FEE"/>
    <w:rsid w:val="00F53E69"/>
    <w:rsid w:val="27897472"/>
    <w:rsid w:val="28D6024D"/>
    <w:rsid w:val="5383721E"/>
    <w:rsid w:val="61D104A9"/>
    <w:rsid w:val="6A39012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3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4"/>
    <w:semiHidden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9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2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Document Map"/>
    <w:basedOn w:val="1"/>
    <w:link w:val="46"/>
    <w:semiHidden/>
    <w:unhideWhenUsed/>
    <w:uiPriority w:val="99"/>
    <w:rPr>
      <w:rFonts w:ascii="宋体"/>
      <w:sz w:val="18"/>
      <w:szCs w:val="18"/>
    </w:rPr>
  </w:style>
  <w:style w:type="paragraph" w:styleId="12">
    <w:name w:val="Balloon Text"/>
    <w:basedOn w:val="1"/>
    <w:link w:val="47"/>
    <w:semiHidden/>
    <w:unhideWhenUsed/>
    <w:uiPriority w:val="99"/>
    <w:rPr>
      <w:sz w:val="18"/>
      <w:szCs w:val="18"/>
    </w:rPr>
  </w:style>
  <w:style w:type="paragraph" w:styleId="13">
    <w:name w:val="footer"/>
    <w:basedOn w:val="1"/>
    <w:link w:val="45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4">
    <w:name w:val="header"/>
    <w:basedOn w:val="1"/>
    <w:link w:val="44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5">
    <w:name w:val="Subtitle"/>
    <w:basedOn w:val="1"/>
    <w:next w:val="1"/>
    <w:link w:val="31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6">
    <w:name w:val="Title"/>
    <w:basedOn w:val="1"/>
    <w:next w:val="1"/>
    <w:link w:val="30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1">
    <w:name w:val="标题 1 Char"/>
    <w:basedOn w:val="17"/>
    <w:link w:val="2"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2">
    <w:name w:val="标题 2 Char"/>
    <w:basedOn w:val="17"/>
    <w:link w:val="3"/>
    <w:semiHidden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3">
    <w:name w:val="标题 3 Char"/>
    <w:basedOn w:val="17"/>
    <w:link w:val="4"/>
    <w:semiHidden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4">
    <w:name w:val="标题 4 Char"/>
    <w:basedOn w:val="17"/>
    <w:link w:val="5"/>
    <w:semiHidden/>
    <w:uiPriority w:val="9"/>
    <w:rPr>
      <w:b/>
      <w:bCs/>
      <w:sz w:val="28"/>
      <w:szCs w:val="28"/>
    </w:rPr>
  </w:style>
  <w:style w:type="character" w:customStyle="1" w:styleId="25">
    <w:name w:val="标题 5 Char"/>
    <w:basedOn w:val="17"/>
    <w:link w:val="6"/>
    <w:semiHidden/>
    <w:uiPriority w:val="9"/>
    <w:rPr>
      <w:b/>
      <w:bCs/>
      <w:i/>
      <w:iCs/>
      <w:sz w:val="26"/>
      <w:szCs w:val="26"/>
    </w:rPr>
  </w:style>
  <w:style w:type="character" w:customStyle="1" w:styleId="26">
    <w:name w:val="标题 6 Char"/>
    <w:basedOn w:val="17"/>
    <w:link w:val="7"/>
    <w:semiHidden/>
    <w:uiPriority w:val="9"/>
    <w:rPr>
      <w:b/>
      <w:bCs/>
    </w:rPr>
  </w:style>
  <w:style w:type="character" w:customStyle="1" w:styleId="27">
    <w:name w:val="标题 7 Char"/>
    <w:basedOn w:val="17"/>
    <w:link w:val="8"/>
    <w:semiHidden/>
    <w:uiPriority w:val="9"/>
    <w:rPr>
      <w:sz w:val="24"/>
      <w:szCs w:val="24"/>
    </w:rPr>
  </w:style>
  <w:style w:type="character" w:customStyle="1" w:styleId="28">
    <w:name w:val="标题 8 Char"/>
    <w:basedOn w:val="17"/>
    <w:link w:val="9"/>
    <w:semiHidden/>
    <w:uiPriority w:val="9"/>
    <w:rPr>
      <w:i/>
      <w:iCs/>
      <w:sz w:val="24"/>
      <w:szCs w:val="24"/>
    </w:rPr>
  </w:style>
  <w:style w:type="character" w:customStyle="1" w:styleId="29">
    <w:name w:val="标题 9 Char"/>
    <w:basedOn w:val="17"/>
    <w:link w:val="10"/>
    <w:semiHidden/>
    <w:uiPriority w:val="9"/>
    <w:rPr>
      <w:rFonts w:asciiTheme="majorHAnsi" w:hAnsiTheme="majorHAnsi" w:eastAsiaTheme="majorEastAsia"/>
    </w:rPr>
  </w:style>
  <w:style w:type="character" w:customStyle="1" w:styleId="30">
    <w:name w:val="标题 Char"/>
    <w:basedOn w:val="17"/>
    <w:link w:val="16"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1">
    <w:name w:val="副标题 Char"/>
    <w:basedOn w:val="17"/>
    <w:link w:val="15"/>
    <w:uiPriority w:val="11"/>
    <w:rPr>
      <w:rFonts w:asciiTheme="majorHAnsi" w:hAnsiTheme="majorHAnsi" w:eastAsiaTheme="majorEastAsia"/>
      <w:sz w:val="24"/>
      <w:szCs w:val="24"/>
    </w:rPr>
  </w:style>
  <w:style w:type="paragraph" w:styleId="32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3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4">
    <w:name w:val="Quote"/>
    <w:basedOn w:val="1"/>
    <w:next w:val="1"/>
    <w:link w:val="35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5">
    <w:name w:val="引用 Char"/>
    <w:basedOn w:val="17"/>
    <w:link w:val="34"/>
    <w:uiPriority w:val="29"/>
    <w:rPr>
      <w:i/>
      <w:sz w:val="24"/>
      <w:szCs w:val="24"/>
    </w:rPr>
  </w:style>
  <w:style w:type="paragraph" w:styleId="36">
    <w:name w:val="Intense Quote"/>
    <w:basedOn w:val="1"/>
    <w:next w:val="1"/>
    <w:link w:val="37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7">
    <w:name w:val="明显引用 Char"/>
    <w:basedOn w:val="17"/>
    <w:link w:val="36"/>
    <w:uiPriority w:val="30"/>
    <w:rPr>
      <w:b/>
      <w:i/>
      <w:sz w:val="24"/>
    </w:rPr>
  </w:style>
  <w:style w:type="character" w:customStyle="1" w:styleId="38">
    <w:name w:val="Subtle Emphasis"/>
    <w:qFormat/>
    <w:uiPriority w:val="19"/>
    <w:rPr>
      <w:i/>
      <w:color w:val="595959" w:themeColor="text1" w:themeTint="A5"/>
    </w:rPr>
  </w:style>
  <w:style w:type="character" w:customStyle="1" w:styleId="39">
    <w:name w:val="Intense Emphasis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40">
    <w:name w:val="Subtle Reference"/>
    <w:basedOn w:val="17"/>
    <w:qFormat/>
    <w:uiPriority w:val="31"/>
    <w:rPr>
      <w:sz w:val="24"/>
      <w:szCs w:val="24"/>
      <w:u w:val="single"/>
    </w:rPr>
  </w:style>
  <w:style w:type="character" w:customStyle="1" w:styleId="41">
    <w:name w:val="Intense Reference"/>
    <w:basedOn w:val="17"/>
    <w:qFormat/>
    <w:uiPriority w:val="32"/>
    <w:rPr>
      <w:b/>
      <w:sz w:val="24"/>
      <w:u w:val="single"/>
    </w:rPr>
  </w:style>
  <w:style w:type="character" w:customStyle="1" w:styleId="42">
    <w:name w:val="Book Title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3">
    <w:name w:val="TOC Heading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4">
    <w:name w:val="页眉 Char"/>
    <w:basedOn w:val="17"/>
    <w:link w:val="14"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页脚 Char"/>
    <w:basedOn w:val="17"/>
    <w:link w:val="13"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6">
    <w:name w:val="文档结构图 Char"/>
    <w:basedOn w:val="17"/>
    <w:link w:val="11"/>
    <w:semiHidden/>
    <w:uiPriority w:val="99"/>
    <w:rPr>
      <w:rFonts w:ascii="宋体" w:hAnsi="Times New Roman" w:eastAsia="宋体"/>
      <w:kern w:val="2"/>
      <w:sz w:val="18"/>
      <w:szCs w:val="18"/>
    </w:rPr>
  </w:style>
  <w:style w:type="character" w:customStyle="1" w:styleId="47">
    <w:name w:val="批注框文本 Char"/>
    <w:basedOn w:val="17"/>
    <w:link w:val="12"/>
    <w:semiHidden/>
    <w:uiPriority w:val="99"/>
    <w:rPr>
      <w:rFonts w:ascii="Times New Roman" w:hAnsi="Times New Roman" w:eastAsia="宋体"/>
      <w:kern w:val="2"/>
      <w:sz w:val="18"/>
      <w:szCs w:val="18"/>
    </w:rPr>
  </w:style>
  <w:style w:type="paragraph" w:customStyle="1" w:styleId="48">
    <w:name w:val="正文 A"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pacing w:after="0" w:line="240" w:lineRule="auto"/>
      <w:jc w:val="both"/>
    </w:pPr>
    <w:rPr>
      <w:rFonts w:ascii="Arial Unicode MS" w:hAnsi="Arial Unicode MS" w:eastAsia="Arial Unicode MS" w:cs="Arial Unicode MS"/>
      <w:color w:val="000000"/>
      <w:kern w:val="2"/>
      <w:sz w:val="21"/>
      <w:szCs w:val="21"/>
      <w:u w:color="00000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C42BEAA-CBD8-472D-86BD-001E554F913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286</Words>
  <Characters>1633</Characters>
  <Lines>13</Lines>
  <Paragraphs>3</Paragraphs>
  <TotalTime>6</TotalTime>
  <ScaleCrop>false</ScaleCrop>
  <LinksUpToDate>false</LinksUpToDate>
  <CharactersWithSpaces>1916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2018-12-17T10:14:00Z</dcterms:created>
  <dc:creator>赵 恺（预算处）</dc:creator>
  <cp:lastModifiedBy>Administrator</cp:lastModifiedBy>
  <cp:lastPrinted>2018-12-17T10:15:00Z</cp:lastPrinted>
  <dcterms:modified xsi:type="dcterms:W3CDTF">2020-01-15T10:18:05Z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