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新疆喀什地区泽普县委员会党校2019年度部门决算公开说明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泽普县委党校是县委直接领导下培养党员领导干部和理论骨干的专门学校，是县委的一个重要部门，其主要职责如下：</w:t>
      </w:r>
    </w:p>
    <w:p>
      <w:pPr>
        <w:ind w:firstLine="480"/>
        <w:jc w:val="both"/>
      </w:pPr>
      <w:r>
        <w:rPr>
          <w:rFonts w:ascii="仿宋_GB2312" w:hAnsi="仿宋_GB2312" w:cs="仿宋_GB2312" w:eastAsia="仿宋_GB2312"/>
          <w:b w:val="false"/>
          <w:sz w:val="32"/>
        </w:rPr>
        <w:t>1、根据县委对全县干部队伍建设的要求，有计划地轮训培训科级党员干部、中青年干部和理论宣传骨干，负责对学员在党校学习期间的表现进行考核，并提出使用建议。</w:t>
      </w:r>
    </w:p>
    <w:p>
      <w:pPr>
        <w:ind w:firstLine="480"/>
        <w:jc w:val="both"/>
      </w:pPr>
      <w:r>
        <w:rPr>
          <w:rFonts w:ascii="仿宋_GB2312" w:hAnsi="仿宋_GB2312" w:cs="仿宋_GB2312" w:eastAsia="仿宋_GB2312"/>
          <w:b w:val="false"/>
          <w:sz w:val="32"/>
        </w:rPr>
        <w:t>2、受县委委托，举办县党政干部学习班，研讨有关重大理论、方针、政策和现实问题。</w:t>
      </w:r>
    </w:p>
    <w:p>
      <w:pPr>
        <w:ind w:firstLine="480"/>
        <w:jc w:val="both"/>
      </w:pPr>
      <w:r>
        <w:rPr>
          <w:rFonts w:ascii="仿宋_GB2312" w:hAnsi="仿宋_GB2312" w:cs="仿宋_GB2312" w:eastAsia="仿宋_GB2312"/>
          <w:b w:val="false"/>
          <w:sz w:val="32"/>
        </w:rPr>
        <w:t>3、与有关部门联合举办各类专业知识进修班和培训班。</w:t>
      </w:r>
    </w:p>
    <w:p>
      <w:pPr>
        <w:ind w:firstLine="480"/>
        <w:jc w:val="both"/>
      </w:pPr>
      <w:r>
        <w:rPr>
          <w:rFonts w:ascii="仿宋_GB2312" w:hAnsi="仿宋_GB2312" w:cs="仿宋_GB2312" w:eastAsia="仿宋_GB2312"/>
          <w:b w:val="false"/>
          <w:sz w:val="32"/>
        </w:rPr>
        <w:t xml:space="preserve">4、研究和宣传马克思列宁主义、毛泽东思想、邓小平理论、“三个代表”重要思想，落实科学发展观，围绕党的中心工作，对县内外重大问题开展理论研究，为教学和社会现实服务，为县委、县人民政府的科学决策服务。 </w:t>
      </w:r>
    </w:p>
    <w:p>
      <w:pPr>
        <w:ind w:firstLine="480"/>
        <w:jc w:val="both"/>
      </w:pPr>
      <w:r>
        <w:rPr>
          <w:rFonts w:ascii="仿宋_GB2312" w:hAnsi="仿宋_GB2312" w:cs="仿宋_GB2312" w:eastAsia="仿宋_GB2312"/>
          <w:b w:val="false"/>
          <w:sz w:val="32"/>
        </w:rPr>
        <w:t>5、负责对全县乡镇党校进行业务指导。</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新疆喀什地区泽普县委员会党校2019年度，实有人数22人，其中：在职人员18人，离休人员0人，退休人员4人。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从部门决算单位构成看，新疆喀什地区泽普县委员会党校部门决算包括：新疆喀什地区泽普县委员会党校决算。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269.94万元，与上年相比，减少22.82万元，下降7.79%，主要原因是：严格执行八项规定，历行节约，压缩一般性支出；本年十三月奖励工资未发放。本年支出269.94万元，与上年相比，减少22.82万元，下降7.79%，主要原因是：严格执行八项规定，历行节约，压缩一般性支出；本年十三月奖励工资未发放。</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2019年度本年收入269.94万元，其中：财政拨款收入269.94万元，占100%；上级补助收入0万元，占0%；事业收入0万元，占0%；经营收入0万元，占0%；附属单位上缴收入0万元，占0%；其他收入0万元，占0%。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2019年度本年支出269.94万元，其中：基本支出269.94万元，占100%；项目支出0万元，占0%；上缴上级支出0万元，占0%；经营支出0万元，占0%；对附属单位补助支出0万元，占0%。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269.94万元，与上年相比，减少22.82万元，下降7.79%，主要原因是：严格执行八项规定，历行节约，压缩一般性支出；本年十三月奖励工资未发放。财政拨款支出269.94万元，与上年相比，减少22.82万元，下降7.79%，主要原因是：严格执行八项规定，历行节约，压缩一般性支出；本年十三月奖励工资未发放。</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267.73万元，决算数269.94万元，预决算差异率0.83%，主要原因是：工资基数调整，人员工资增加。财政拨款支出年初预算数267.73万元，决算数269.94万元，预决算差异率0.83%，主要原因是：工资基数调整，人员工资增加。</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2019年度一般公共预算财政拨款支出269.94万元。按功能分类科目项级科目公开，其中：</w:t>
      </w:r>
    </w:p>
    <w:p>
      <w:pPr>
        <w:ind w:firstLine="480"/>
        <w:jc w:val="both"/>
      </w:pPr>
      <w:r>
        <w:rPr>
          <w:rFonts w:ascii="仿宋_GB2312" w:hAnsi="仿宋_GB2312" w:cs="仿宋_GB2312" w:eastAsia="仿宋_GB2312"/>
          <w:b w:val="false"/>
          <w:sz w:val="32"/>
        </w:rPr>
        <w:t xml:space="preserve">   2050802干部教育支出237.57万元；</w:t>
      </w:r>
    </w:p>
    <w:p>
      <w:pPr>
        <w:ind w:firstLine="480"/>
        <w:jc w:val="both"/>
      </w:pPr>
      <w:r>
        <w:rPr>
          <w:rFonts w:ascii="仿宋_GB2312" w:hAnsi="仿宋_GB2312" w:cs="仿宋_GB2312" w:eastAsia="仿宋_GB2312"/>
          <w:b w:val="false"/>
          <w:sz w:val="32"/>
        </w:rPr>
        <w:t xml:space="preserve">   2080505机关事业单位基本养老保险缴费支出27.90万元；</w:t>
      </w:r>
    </w:p>
    <w:p>
      <w:pPr>
        <w:ind w:firstLine="480"/>
        <w:jc w:val="both"/>
      </w:pPr>
      <w:r>
        <w:rPr>
          <w:rFonts w:ascii="仿宋_GB2312" w:hAnsi="仿宋_GB2312" w:cs="仿宋_GB2312" w:eastAsia="仿宋_GB2312"/>
          <w:b w:val="false"/>
          <w:sz w:val="32"/>
        </w:rPr>
        <w:t xml:space="preserve">   2080506机关事业单位职业年金缴费支出4.47万元。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2019年度一般公共预算财政拨款基本支出269.94万元，其中：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258.13万元，包括：基本工资、津贴补贴、绩效工资、机关事业单位基本养老保险缴费、职业年金缴费、职工基本医疗保险缴费、公务员医疗补助缴费、其他社会保障缴费、住房公积金、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公用经费11.81万元，包括：办公费、取暖费、公务用车运行维护费。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0.24万元，比上年减少1.41万元，降低85.45%，主要原因是严格执行八项规定，历行节约，压缩车辆运行支出；。其中，因公出国（境）费支出0万元，占0%，比上年增加0万元，增长0%，主要原因是没有安排因公出国（经）费；公务用车购置及运行维护费支出0.24万元，占100%，比上年减少1.41万元，降低85.45%，主要原因是严格执行八项规定，历行节约，压缩车辆运行支出；商家提供发票推迟，未能按时支出；公务接待费支出0万元，占0%，比上年增加0万元，增长0%，主要原因是没有安排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因公出国（境）费支出0万元，开支内容包括：没有安排因公出国（经）费。单位全年安排的因公出国（境）团组0个，因公出国（境）0人次。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0.24万元，其中，公务用车购置费0万元，公务用车运行维护费0.24万元。公务用车运行维护费开支内容包括公务用车汽车油料、维护费、购置车辆保险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公务接待费0万元，开支内容包括没有安排公务接待费。单位全年安排的国内公务接待0批次，0人次。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1.65万元，决算数0.24万元，预决算差异率-85.45%，主要原因是：严格执行八项规定，历行节约，压缩车辆运行支出；商家提供发票推迟，未能按时支出。其中：因公出国（境）费预算数0万元，决算数0万元，预决算差异率0%，主要原因是：没有安排因公出国（经）费；公务用车购置费预算数0万元，决算数0万元，预决算差异率0%，主要原因是：没有安排公务用车购置费；公务用车运行费预算数1.65万元，决算数0.24万元，预决算差异率-85.45%，主要原因是：严格执行八项规定，历行节约，压缩车辆运行支出；商家提供发票推迟，未能按时支出；公务接待费预算数0万元，决算数0万元，预决算差异率0%，主要原因是：没有安排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2019年度新疆喀什地区泽普县委员会党校机关运行经费支出11.81万元，比上年减少3.14万元，降低21%，主要原因是严格执行八项规定，历行节约，压缩车辆运行支出；商家提供发票推迟，未能按时支出。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2019年度政府采购支出总额0.28万元，其中：政府采购货物支出0万元、政府采购工程支出0万元、政府采购服务支出0.28万元。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授予中小企业合同金额0.28万元，占政府采购支出总额的100%，其中：授予小微企业合同金额0.28万元，占政府采购支出总额的100%。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4,887（平方米），价值903万元。车辆1辆，价值14.68万元，其中：副部（省）级及以上领导用车0辆、主要领导干部用车0辆、机要通信用车0辆、应急保障用车0辆、执法执勤用车0辆、特种专业技术用车0辆、离退休干部用车0辆、其他用车1辆，其他用车主要是：单位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2019年度，本部门单位预算绩效自评情况：本单位无有关预算绩效管理和绩效自评开展情况。</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soj6ICXfCRQjmKymhOOr4A==" w:hash="sVZ8rYD7jYPWBDaK9Ns/j4TwIf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