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新疆喀什地区泽普县科学技术局2019年度部门决算公开说明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1、贯切执行中央、自治区、地区有关科技工作方针、政策、法律、法规。组织制订本</w:t>
      </w:r>
    </w:p>
    <w:p>
      <w:pPr>
        <w:ind w:firstLine="480"/>
        <w:jc w:val="both"/>
      </w:pPr>
      <w:r>
        <w:rPr>
          <w:rFonts w:ascii="仿宋_GB2312" w:hAnsi="仿宋_GB2312" w:cs="仿宋_GB2312" w:eastAsia="仿宋_GB2312"/>
          <w:b w:val="false"/>
          <w:sz w:val="32"/>
        </w:rPr>
        <w:t>县科技发展战略，区域创新体系建设、高新技术产业化、重大科技专项、科技成果转化和</w:t>
      </w:r>
    </w:p>
    <w:p>
      <w:pPr>
        <w:ind w:firstLine="480"/>
        <w:jc w:val="both"/>
      </w:pPr>
      <w:r>
        <w:rPr>
          <w:rFonts w:ascii="仿宋_GB2312" w:hAnsi="仿宋_GB2312" w:cs="仿宋_GB2312" w:eastAsia="仿宋_GB2312"/>
          <w:b w:val="false"/>
          <w:sz w:val="32"/>
        </w:rPr>
        <w:t>科技促进经济与社会发展的政策。协调乡镇（场）、县直有关部门的强化实施“科教兴泽”战略，推动全社会的科技进步和科技事业发展。</w:t>
      </w:r>
    </w:p>
    <w:p>
      <w:pPr>
        <w:ind w:firstLine="480"/>
        <w:jc w:val="both"/>
      </w:pPr>
      <w:r>
        <w:rPr>
          <w:rFonts w:ascii="仿宋_GB2312" w:hAnsi="仿宋_GB2312" w:cs="仿宋_GB2312" w:eastAsia="仿宋_GB2312"/>
          <w:b w:val="false"/>
          <w:sz w:val="32"/>
        </w:rPr>
        <w:t>2、编制全县民用科技发展的中长期规划和年度计划并组织实施；运用行政、经济手段，加强科技活动调控；会同有关部门组织协调高新技术园区、农业科技示范园区建设；牵头实施泽普县经济，社会发展领域的基础研究和重大科技攻关，负责国内外重大科技合作与交流的组织协调；管理国家、自治区在喀什地区泽普县实施的重大科技项目。</w:t>
      </w:r>
    </w:p>
    <w:p>
      <w:pPr>
        <w:ind w:firstLine="480"/>
        <w:jc w:val="both"/>
      </w:pPr>
      <w:r>
        <w:rPr>
          <w:rFonts w:ascii="仿宋_GB2312" w:hAnsi="仿宋_GB2312" w:cs="仿宋_GB2312" w:eastAsia="仿宋_GB2312"/>
          <w:b w:val="false"/>
          <w:sz w:val="32"/>
        </w:rPr>
        <w:t>3、负责泽普县科技进步奖、科技成果评审的组织工作；负责高新技术企业、科技型中小企业、科技中价机构、民办科研机构、技术市场的认定和监督管理工作，推动泽普县科技服务体系建设。</w:t>
      </w:r>
    </w:p>
    <w:p>
      <w:pPr>
        <w:ind w:firstLine="480"/>
        <w:jc w:val="both"/>
      </w:pPr>
      <w:r>
        <w:rPr>
          <w:rFonts w:ascii="仿宋_GB2312" w:hAnsi="仿宋_GB2312" w:cs="仿宋_GB2312" w:eastAsia="仿宋_GB2312"/>
          <w:b w:val="false"/>
          <w:sz w:val="32"/>
        </w:rPr>
        <w:t>4、制定多渠道增加科技投入的政策，提出合理配置相应科技经费的具体措施和管理办法，负责归口管理的科技技术管理事务经费、技术研究与开发经费、科技条件与服务、科技交流与合作、科技重大专项资金和科技发展基金的管理和审计。</w:t>
      </w:r>
    </w:p>
    <w:p>
      <w:pPr>
        <w:ind w:firstLine="480"/>
        <w:jc w:val="both"/>
      </w:pPr>
      <w:r>
        <w:rPr>
          <w:rFonts w:ascii="仿宋_GB2312" w:hAnsi="仿宋_GB2312" w:cs="仿宋_GB2312" w:eastAsia="仿宋_GB2312"/>
          <w:b w:val="false"/>
          <w:sz w:val="32"/>
        </w:rPr>
        <w:t>5、会同有关部门拟定泽普县科技人才队伍建设规划，提出相关政策建议；组织开展科技管理干部和科技人才的管理、培养和培训工作。</w:t>
      </w:r>
    </w:p>
    <w:p>
      <w:pPr>
        <w:ind w:firstLine="480"/>
        <w:jc w:val="both"/>
      </w:pPr>
      <w:r>
        <w:rPr>
          <w:rFonts w:ascii="仿宋_GB2312" w:hAnsi="仿宋_GB2312" w:cs="仿宋_GB2312" w:eastAsia="仿宋_GB2312"/>
          <w:b w:val="false"/>
          <w:sz w:val="32"/>
        </w:rPr>
        <w:t>6、组织开展自然科学技术及软科学领域的科学技术研究，研究提出泽普县科技体制改革的政策和重大措施建议，推进科技体制改革工作；协调本县科学技术普及工作，组织科技人员参与泽普县科技、经济、社会发展重大决策的研究、咨询活动；负责泽普县科技成果、科技信息、科技宣传。科技统计和科技评估等工作。</w:t>
      </w:r>
    </w:p>
    <w:p>
      <w:pPr>
        <w:ind w:firstLine="480"/>
        <w:jc w:val="both"/>
      </w:pPr>
      <w:r>
        <w:rPr>
          <w:rFonts w:ascii="仿宋_GB2312" w:hAnsi="仿宋_GB2312" w:cs="仿宋_GB2312" w:eastAsia="仿宋_GB2312"/>
          <w:b w:val="false"/>
          <w:sz w:val="32"/>
        </w:rPr>
        <w:t>7、承担泽普县科技特派员领导小组办公室职能，加强农村科技服务体系建设，促进以改善民生为重点的农村建设和社会建设。</w:t>
      </w:r>
    </w:p>
    <w:p>
      <w:pPr>
        <w:ind w:firstLine="480"/>
        <w:jc w:val="both"/>
      </w:pPr>
      <w:r>
        <w:rPr>
          <w:rFonts w:ascii="仿宋_GB2312" w:hAnsi="仿宋_GB2312" w:cs="仿宋_GB2312" w:eastAsia="仿宋_GB2312"/>
          <w:b w:val="false"/>
          <w:sz w:val="32"/>
        </w:rPr>
        <w:t>8、承办县委、县人民政府和地区科技局交办的其他事项。</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新疆喀什地区泽普县科学技术局2019年度，实有人数9人，其中：在职人员6人，离休人员0人，退休人员3人。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从部门决算单位构成看，新疆喀什地区泽普县科学技术局部门决算包括：新疆喀什地区泽普县科学技术局决算。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139.08万元，与上年相比，增加58.85万元，增长73.35%，主要原因是：主要原因是人员有所变动，比去年增加了2人、项目资金增加（增加泽普县第五中学科普教育馆项目）。本年支出309.56万元，与上年相比，增加232.30万元，增长300.67%，主要原因是：2019年支出中包含2016年的结余资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2019年度本年收入139.08万元，其中：财政拨款收入93.75万元，占67.41%；上级补助收入0万元，占0%；事业收入0万元，占0%；经营收入0万元，占0%；附属单位上缴收入0万元，占0%；其他收入45.33万元，占32.59%。</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2019年度本年支出309.56万元，其中：基本支出140.82万元，占45.49%；项目支出168.73万元，占54.51%；上缴上级支出0万元，占0%；经营支出0万元，占0%；对附属单位补助支出0万元，占0%。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93.75万元，与上年相比，增加19.60万元，增长26.43%，主要原因是：比去年增加了2人。财政拨款支出256.49万元，与上年相比，增加182.34万元，增长245.91%，主要原因是：2019年支出中包含2016年的结余资金。</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63.17万元，决算数93.75万元，预决算差异率48.41%，主要原因是：调整预算数。财政拨款支出年初预算数63.17万元，决算数256.49万元，预决算差异率306.03%，主要原因是：调整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2019年度一般公共预算财政拨款支出256.49万元。按功能分类科目项级科目公开，其中：</w:t>
      </w:r>
    </w:p>
    <w:p>
      <w:pPr>
        <w:ind w:firstLine="480"/>
        <w:jc w:val="both"/>
      </w:pPr>
      <w:r>
        <w:rPr>
          <w:rFonts w:ascii="仿宋_GB2312" w:hAnsi="仿宋_GB2312" w:cs="仿宋_GB2312" w:eastAsia="仿宋_GB2312"/>
          <w:b w:val="false"/>
          <w:sz w:val="32"/>
        </w:rPr>
        <w:t xml:space="preserve">   2060101行政运行支出79.43万元；</w:t>
      </w:r>
    </w:p>
    <w:p>
      <w:pPr>
        <w:ind w:firstLine="480"/>
        <w:jc w:val="both"/>
      </w:pPr>
      <w:r>
        <w:rPr>
          <w:rFonts w:ascii="仿宋_GB2312" w:hAnsi="仿宋_GB2312" w:cs="仿宋_GB2312" w:eastAsia="仿宋_GB2312"/>
          <w:b w:val="false"/>
          <w:sz w:val="32"/>
        </w:rPr>
        <w:t xml:space="preserve">   2060402应用技术研究与开发支出162.73万元；</w:t>
      </w:r>
    </w:p>
    <w:p>
      <w:pPr>
        <w:ind w:firstLine="480"/>
        <w:jc w:val="both"/>
      </w:pPr>
      <w:r>
        <w:rPr>
          <w:rFonts w:ascii="仿宋_GB2312" w:hAnsi="仿宋_GB2312" w:cs="仿宋_GB2312" w:eastAsia="仿宋_GB2312"/>
          <w:b w:val="false"/>
          <w:sz w:val="32"/>
        </w:rPr>
        <w:t xml:space="preserve">   2060404科技成果转化与扩散支出3万元；</w:t>
      </w:r>
    </w:p>
    <w:p>
      <w:pPr>
        <w:ind w:firstLine="480"/>
        <w:jc w:val="both"/>
      </w:pPr>
      <w:r>
        <w:rPr>
          <w:rFonts w:ascii="仿宋_GB2312" w:hAnsi="仿宋_GB2312" w:cs="仿宋_GB2312" w:eastAsia="仿宋_GB2312"/>
          <w:b w:val="false"/>
          <w:sz w:val="32"/>
        </w:rPr>
        <w:t xml:space="preserve">   2060702科普活动支出3万元；</w:t>
      </w:r>
    </w:p>
    <w:p>
      <w:pPr>
        <w:ind w:firstLine="480"/>
        <w:jc w:val="both"/>
      </w:pPr>
      <w:r>
        <w:rPr>
          <w:rFonts w:ascii="仿宋_GB2312" w:hAnsi="仿宋_GB2312" w:cs="仿宋_GB2312" w:eastAsia="仿宋_GB2312"/>
          <w:b w:val="false"/>
          <w:sz w:val="32"/>
        </w:rPr>
        <w:t xml:space="preserve">   2080505机关事业单位基本养老保险缴费支出8.32万元。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2019年度一般公共预算财政拨款基本支出87.75万元，其中：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人员经费84.05万元，包括：基本工资、津贴补贴、机关事业单位基本养老保险缴费、职工基本医疗保险缴费、公务员医疗补助缴费、其他社会保障缴费、退休费、生活补助。</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公用经费3.70万元，包括：办公费、公务用车运行维护费。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2.53万元，比上年增加1.13万元，增长80.71%，主要原因是2018年的三公经费结余了1.8万元，2019年支出资金是按照年初预算资金使用，不存在多支出的问题。其中，因公出国（境）费支出0万元，占0%，比上年增加0万元，增长0%，主要原因是没有发生因公出国业务；公务用车购置及运行维护费支出2.53万元，占100%，比上年增加1.13万元，增长80.71%，主要原因是2018年的公务用车及运行维护费结余了1.8万元，2019年支出资金是按照年初预算资金使用，不存在多支出的问题。；公务接待费支出0万元，占0%，比上年增加0万元，增长0%，主要原因是没有发生公务接待业务。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因公出国（境）费支出0万元，开支内容包括：没有发生因公出国业务。单位全年安排的因公出国（境）团组0个，因公出国（境）0人次。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2.53万元，其中，公务用车购置费0万元，公务用车运行维护费2.53万元。公务用车运行维护费开支内容包括汽车油料、维修、过路费、车辆保险费等。公务用车购置数0辆，公务用车保有量2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公务接待费0万元，开支内容包括没有发生公务接待业务。单位全年安排的国内公务接待0批次，0人次。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2.53万元，决算数2.53万元，预决算差异率0%，主要原因是：年初预算安排公务用车运行费2.53万元，按预算安排支出公务用车运行费。其中：因公出国（境）费预算数0万元，决算数0万元，预决算差异率0%，主要原因是：没有发生因公出国业务；公务用车购置费预算数0万元，决算数0万元，预决算差异率0%，主要原因是：没有发生公务用车购置业务；公务用车运行费预算数2.53万元，决算数2.53万元，预决算差异率0%，主要原因是：年初预算安排公务用车运行费2.53万元，按预算安排支出公务用车运行费；公务接待费预算数0万元，决算数0万元，预决算差异率0%，主要原因是：没有发生公务接待业务。</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泽普县科学技术局机关运行经费支出3.70万元，比上年增加1.80万元，增长94.74%，主要原因是本单位行政单位和参照公务法管理事业单位：2019年度单位机关运行经费支出2.53万元，比上年增加1.8万元，增长94.743%，主要原因是:2018年年初预算安排资金结余了1.8万元。</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2019年度政府采购支出总额0.47万元，其中：政府采购货物支出0万元、政府采购工程支出0万元、政府采购服务支出0.47万元。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授予中小企业合同金额0.47万元，占政府采购支出总额的100%，其中：授予小微企业合同金额0.47万元，占政府采购支出总额的100%。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2辆，价值51.71万元，其中：副部（省）级及以上领导用车0辆、主要领导干部用车0辆、机要通信用车0辆、应急保障用车0辆、执法执勤用车0辆、特种专业技术用车0辆、离退休干部用车0辆、其他用车2辆，其他用车主要是：其他用车主要是开展日常工作；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绩效项目数量：3个个，共涉及资金绩效项目总金额：168.73万元万元。预算绩效管理取得的成效：主要产出和效果：科技三项费资金管理过程规范，程序到位，完成了预期绩效目标，群众满意，社会反响好，取得了巨大的社会效益。发现的问题及原因：发现的问题及原因：无。下一步改进措施：下一步改进措施：1.抓好专项计划的落实工作，协调解决项目实施中的有关问题，落实好相关政策。
2、科普宣传器材的日常管理工作，校领导经常了解设备运行情况，协调信息技术老师及时解决问题，加强信息技术人员与供货方的沟通联系，共同做好项目管理服务工作。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OXN06nNtWcr673aNxk/w==" w:hash="6OEn0Nfb9DoTYA5CjhVdHH9L9LE="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