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新疆喀什地区泽普县纪律检查委员会2019年度部门决算公开说明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 xml:space="preserve">1、主管党的纪律检查工作。负责贯彻落实违反党中央和省、市、县委关于加强党风廉政建设的决定，维护党的章程和其他党内法规，检查党的路线、方针、政策和决议的执行情况。 </w:t>
      </w:r>
    </w:p>
    <w:p>
      <w:pPr>
        <w:ind w:firstLine="480"/>
        <w:jc w:val="both"/>
      </w:pPr>
      <w:r>
        <w:rPr>
          <w:rFonts w:ascii="仿宋_GB2312" w:hAnsi="仿宋_GB2312" w:eastAsia="仿宋_GB2312" w:cs="仿宋_GB2312"/>
          <w:b w:val="0"/>
          <w:sz w:val="32"/>
        </w:rPr>
        <w:t>2、主管全县行政监察工作。负责贯彻落实党中央、国务院有关行政监察工作决定，监督检查各乡镇、政府各部门及其工作人员执行国家政策、法律、法规和决议、命令的情况。</w:t>
      </w:r>
    </w:p>
    <w:p>
      <w:pPr>
        <w:ind w:firstLine="480"/>
        <w:jc w:val="both"/>
      </w:pPr>
      <w:r>
        <w:rPr>
          <w:rFonts w:ascii="仿宋_GB2312" w:hAnsi="仿宋_GB2312" w:eastAsia="仿宋_GB2312" w:cs="仿宋_GB2312"/>
          <w:b w:val="0"/>
          <w:sz w:val="32"/>
        </w:rPr>
        <w:t>3、负责检查并处理县直各部门、各乡镇党的组织和县委管理的党员领导干部违反党的章程及其他党内法规的案件，决定或取消对这些案件中的党员的处分；受理党员的控告和申诉。</w:t>
      </w:r>
    </w:p>
    <w:p>
      <w:pPr>
        <w:ind w:firstLine="480"/>
        <w:jc w:val="both"/>
      </w:pPr>
      <w:r>
        <w:rPr>
          <w:rFonts w:ascii="仿宋_GB2312" w:hAnsi="仿宋_GB2312" w:eastAsia="仿宋_GB2312" w:cs="仿宋_GB2312"/>
          <w:b w:val="0"/>
          <w:sz w:val="32"/>
        </w:rPr>
        <w:t>4、负责调查处理县政府各部门及其工作人员，各乡镇及其主要负责人违反国家政策、法律法规以及违反政纪的行为，并根据责任人所犯错误的情节轻重，做出相应的行政处分（对涉及选举产生的领导干部按法定程序办理)；受理监察对象不服政纪处分的申诉，受理个人或单位对监祭对象违纪行为的检举、控告。</w:t>
      </w:r>
    </w:p>
    <w:p>
      <w:pPr>
        <w:ind w:firstLine="480"/>
        <w:jc w:val="both"/>
      </w:pPr>
      <w:r>
        <w:rPr>
          <w:rFonts w:ascii="仿宋_GB2312" w:hAnsi="仿宋_GB2312" w:eastAsia="仿宋_GB2312" w:cs="仿宋_GB2312"/>
          <w:b w:val="0"/>
          <w:sz w:val="32"/>
        </w:rPr>
        <w:t>5、负责制订全县党风党纪教育计划和有关维护党纪的决定；配合有关部门做好党的纪检工作方针、政策的宣传工作和对党员遵守纪律的教育工作。</w:t>
      </w:r>
    </w:p>
    <w:p>
      <w:pPr>
        <w:ind w:firstLine="480"/>
        <w:jc w:val="both"/>
      </w:pPr>
      <w:r>
        <w:rPr>
          <w:rFonts w:ascii="仿宋_GB2312" w:hAnsi="仿宋_GB2312" w:eastAsia="仿宋_GB2312" w:cs="仿宋_GB2312"/>
          <w:b w:val="0"/>
          <w:sz w:val="32"/>
        </w:rPr>
        <w:t>6、会同有关部门做好行政监察工作的方针、政策和法律法规的宣传工作，教育国家工作人员遵纪守法、为政清廉。</w:t>
      </w:r>
    </w:p>
    <w:p>
      <w:pPr>
        <w:ind w:firstLine="480"/>
        <w:jc w:val="both"/>
      </w:pPr>
      <w:r>
        <w:rPr>
          <w:rFonts w:ascii="仿宋_GB2312" w:hAnsi="仿宋_GB2312" w:eastAsia="仿宋_GB2312" w:cs="仿宋_GB2312"/>
          <w:b w:val="0"/>
          <w:sz w:val="32"/>
        </w:rPr>
        <w:t>7、负责对党的纪律检查工作理论及有关问题进行调查研究。</w:t>
      </w:r>
    </w:p>
    <w:p>
      <w:pPr>
        <w:ind w:firstLine="480"/>
        <w:jc w:val="both"/>
      </w:pPr>
      <w:r>
        <w:rPr>
          <w:rFonts w:ascii="仿宋_GB2312" w:hAnsi="仿宋_GB2312" w:eastAsia="仿宋_GB2312" w:cs="仿宋_GB2312"/>
          <w:b w:val="0"/>
          <w:sz w:val="32"/>
        </w:rPr>
        <w:t>8、为县委、县政府研究制定全县党风廉政建设和反腐败工作的意见及措施、办法。</w:t>
      </w:r>
    </w:p>
    <w:p>
      <w:pPr>
        <w:ind w:firstLine="480"/>
        <w:jc w:val="both"/>
      </w:pPr>
      <w:r>
        <w:rPr>
          <w:rFonts w:ascii="仿宋_GB2312" w:hAnsi="仿宋_GB2312" w:eastAsia="仿宋_GB2312" w:cs="仿宋_GB2312"/>
          <w:b w:val="0"/>
          <w:sz w:val="32"/>
        </w:rPr>
        <w:t>9、负责人民群众来信来访的接待和处理工作。</w:t>
      </w:r>
    </w:p>
    <w:p>
      <w:pPr>
        <w:ind w:firstLine="480"/>
        <w:jc w:val="both"/>
      </w:pPr>
      <w:r>
        <w:rPr>
          <w:rFonts w:ascii="仿宋_GB2312" w:hAnsi="仿宋_GB2312" w:eastAsia="仿宋_GB2312" w:cs="仿宋_GB2312"/>
          <w:b w:val="0"/>
          <w:sz w:val="32"/>
        </w:rPr>
        <w:t>10、承办县委、县政府授权和交办的其他事项。</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新疆喀什地区泽普县纪律检查委员会2019年度，实有人数27人，其中：在职人员27人，离休人员0人，退休人员0人。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从部门决算单位构成看，新疆喀什地区泽普县纪律检查委员会部门决算包括：新疆喀什地区泽普县纪律检查委员会决算。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554.64万元，与上年相比，减少56.73万元，下降9.28%，主要原因是：县本级项目“走读式”谈话室建设减少。本年支出554.64万元，与上年相比，减少56.01万元，下降9.17%，主要原因是：县本级项目“走读式”谈话室建设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2019年度本年收入554.64万元，其中：财政拨款收入554.64万元，占100%；上级补助收入0万元，占0%；事业收入0万元，占0%；经营收入0万元，占0%；附属单位上缴收入0万元，占0%；其他收入0万元，占0%。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2019年度本年支出554.64万元，其中：基本支出471.74万元，占85.05%；项目支出82.91万元，占14.95%；上缴上级支出0万元，占0%；经营支出0万元，占0%；对附属单位补助支出0万元，占0%。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554.64万元，与上年相比，减少40.09万元，下降6.74%，主要原因是：县本级项目“走读式”谈话室建设减少。财政拨款支出554.64万元，与上年相比，减少40.09万元，下降6.74%，主要原因是：县本级项目“走读式”谈话室建设减少，2019年增加纪委派驻组办公设备购置专项26.23万元。</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393.79万元，决算数554.64万元，预决算差异率40.85%，主要原因是：年中追加增加项目4个，涉及金额82.9万元，在职人员新增5人。财政拨款支出年初预算数393.79万元，决算数554.64万元，预决算差异率40.85%，主要原因是：年中追加增加项目4个，涉及金额82.9万元，在职人员新增5人。</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2019年度一般公共预算财政拨款支出554.64万元。按功能分类科目项级科目公开，其中：</w:t>
      </w:r>
    </w:p>
    <w:p>
      <w:pPr>
        <w:ind w:firstLine="480"/>
        <w:jc w:val="both"/>
      </w:pPr>
      <w:r>
        <w:rPr>
          <w:rFonts w:ascii="仿宋_GB2312" w:hAnsi="仿宋_GB2312" w:eastAsia="仿宋_GB2312" w:cs="仿宋_GB2312"/>
          <w:b w:val="0"/>
          <w:sz w:val="32"/>
        </w:rPr>
        <w:t xml:space="preserve">   2011101行政运行支出393.22万元；</w:t>
      </w:r>
    </w:p>
    <w:p>
      <w:pPr>
        <w:ind w:firstLine="480"/>
        <w:jc w:val="both"/>
      </w:pPr>
      <w:r>
        <w:rPr>
          <w:rFonts w:ascii="仿宋_GB2312" w:hAnsi="仿宋_GB2312" w:eastAsia="仿宋_GB2312" w:cs="仿宋_GB2312"/>
          <w:b w:val="0"/>
          <w:sz w:val="32"/>
        </w:rPr>
        <w:t xml:space="preserve">   2011102一般行政管理事务支出10万元；</w:t>
      </w:r>
    </w:p>
    <w:p>
      <w:pPr>
        <w:ind w:firstLine="480"/>
        <w:jc w:val="both"/>
      </w:pPr>
      <w:r>
        <w:rPr>
          <w:rFonts w:ascii="仿宋_GB2312" w:hAnsi="仿宋_GB2312" w:eastAsia="仿宋_GB2312" w:cs="仿宋_GB2312"/>
          <w:b w:val="0"/>
          <w:sz w:val="32"/>
        </w:rPr>
        <w:t xml:space="preserve">   2011199其他纪检监察事务支出52.91万元；</w:t>
      </w:r>
    </w:p>
    <w:p>
      <w:pPr>
        <w:ind w:firstLine="480"/>
        <w:jc w:val="both"/>
      </w:pPr>
      <w:r>
        <w:rPr>
          <w:rFonts w:ascii="仿宋_GB2312" w:hAnsi="仿宋_GB2312" w:eastAsia="仿宋_GB2312" w:cs="仿宋_GB2312"/>
          <w:b w:val="0"/>
          <w:sz w:val="32"/>
        </w:rPr>
        <w:t xml:space="preserve">   2040499其他检察支出20万元；</w:t>
      </w:r>
    </w:p>
    <w:p>
      <w:pPr>
        <w:ind w:firstLine="480"/>
        <w:jc w:val="both"/>
      </w:pPr>
      <w:r>
        <w:rPr>
          <w:rFonts w:ascii="仿宋_GB2312" w:hAnsi="仿宋_GB2312" w:eastAsia="仿宋_GB2312" w:cs="仿宋_GB2312"/>
          <w:b w:val="0"/>
          <w:sz w:val="32"/>
        </w:rPr>
        <w:t xml:space="preserve">   2080505机关事业单位基本养老保险缴费支出42.90万元；</w:t>
      </w:r>
    </w:p>
    <w:p>
      <w:pPr>
        <w:ind w:firstLine="480"/>
        <w:jc w:val="both"/>
      </w:pPr>
      <w:r>
        <w:rPr>
          <w:rFonts w:ascii="仿宋_GB2312" w:hAnsi="仿宋_GB2312" w:eastAsia="仿宋_GB2312" w:cs="仿宋_GB2312"/>
          <w:b w:val="0"/>
          <w:sz w:val="32"/>
        </w:rPr>
        <w:t xml:space="preserve">   2080506机关事业单位职业年金缴费支出3.52万元；</w:t>
      </w:r>
    </w:p>
    <w:p>
      <w:pPr>
        <w:ind w:firstLine="480"/>
        <w:jc w:val="both"/>
      </w:pPr>
      <w:r>
        <w:rPr>
          <w:rFonts w:ascii="仿宋_GB2312" w:hAnsi="仿宋_GB2312" w:eastAsia="仿宋_GB2312" w:cs="仿宋_GB2312"/>
          <w:b w:val="0"/>
          <w:sz w:val="32"/>
        </w:rPr>
        <w:t xml:space="preserve">   2210201住房公积金支出32.10万元。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2019年度一般公共预算财政拨款基本支出471.74万元，其中：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人员经费422.83万元，包括：基本工资、津贴补贴、机关事业单位基本养老保险缴费、职业年金缴费、职工基本医疗保险缴费、公务员医疗补助缴费、其他社会保障缴费、住房公积金、退休费、生活补助、奖励金。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公用经费48.91万元，包括：办公费、邮电费、差旅费、公务接待费、公务用车运行维护</w:t>
      </w:r>
      <w:r>
        <w:rPr>
          <w:rFonts w:hint="eastAsia" w:ascii="仿宋_GB2312" w:hAnsi="仿宋_GB2312" w:eastAsia="仿宋_GB2312" w:cs="仿宋_GB2312"/>
          <w:sz w:val="32"/>
          <w:lang w:eastAsia="zh-CN"/>
        </w:rPr>
        <w:t>、办公设备购置</w:t>
      </w:r>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2019年度一般公共预算“三公”经费支出决算26.37万元，比上年减少20.22万元，降低43.4%，主要原因是合理压减三公经费</w:t>
      </w:r>
      <w:r>
        <w:rPr>
          <w:rFonts w:hint="eastAsia" w:ascii="仿宋_GB2312" w:hAnsi="仿宋_GB2312" w:eastAsia="仿宋_GB2312" w:cs="仿宋_GB2312"/>
          <w:sz w:val="32"/>
          <w:lang w:eastAsia="zh-CN"/>
        </w:rPr>
        <w:t>。</w:t>
      </w:r>
      <w:r>
        <w:rPr>
          <w:rFonts w:ascii="仿宋_GB2312" w:hAnsi="仿宋_GB2312" w:eastAsia="仿宋_GB2312" w:cs="仿宋_GB2312"/>
          <w:sz w:val="32"/>
        </w:rPr>
        <w:t>其中，因公出国（境）费支出0万元，占0%，比上年增加0万元，增长0%，主要原因是无因公出国境费；公务用车购置及运行维护费支出15.50万元，占58.7</w:t>
      </w:r>
      <w:r>
        <w:rPr>
          <w:rFonts w:hint="eastAsia" w:ascii="仿宋_GB2312" w:hAnsi="仿宋_GB2312" w:eastAsia="仿宋_GB2312" w:cs="仿宋_GB2312"/>
          <w:sz w:val="32"/>
          <w:lang w:val="en-US" w:eastAsia="zh-CN"/>
        </w:rPr>
        <w:t>5</w:t>
      </w:r>
      <w:r>
        <w:rPr>
          <w:rFonts w:ascii="仿宋_GB2312" w:hAnsi="仿宋_GB2312" w:eastAsia="仿宋_GB2312" w:cs="仿宋_GB2312"/>
          <w:sz w:val="32"/>
        </w:rPr>
        <w:t>%，比上年减少19.64万元，降低55.89%，主要原因合理压减三公经费</w:t>
      </w:r>
      <w:r>
        <w:rPr>
          <w:rFonts w:hint="eastAsia" w:ascii="仿宋_GB2312" w:hAnsi="仿宋_GB2312" w:eastAsia="仿宋_GB2312" w:cs="仿宋_GB2312"/>
          <w:sz w:val="32"/>
          <w:lang w:eastAsia="zh-CN"/>
        </w:rPr>
        <w:t>；</w:t>
      </w:r>
      <w:r>
        <w:rPr>
          <w:rFonts w:ascii="仿宋_GB2312" w:hAnsi="仿宋_GB2312" w:eastAsia="仿宋_GB2312" w:cs="仿宋_GB2312"/>
          <w:sz w:val="32"/>
        </w:rPr>
        <w:t>公务接待费支出10.88万元，占</w:t>
      </w:r>
      <w:r>
        <w:rPr>
          <w:rFonts w:hint="eastAsia" w:ascii="仿宋_GB2312" w:hAnsi="仿宋_GB2312" w:eastAsia="仿宋_GB2312" w:cs="仿宋_GB2312"/>
          <w:sz w:val="32"/>
          <w:lang w:val="en-US" w:eastAsia="zh-CN"/>
        </w:rPr>
        <w:t>41.25</w:t>
      </w:r>
      <w:r>
        <w:rPr>
          <w:rFonts w:ascii="仿宋_GB2312" w:hAnsi="仿宋_GB2312" w:eastAsia="仿宋_GB2312" w:cs="仿宋_GB2312"/>
          <w:sz w:val="32"/>
        </w:rPr>
        <w:t>%，比上年减少0.57万元，降低4.98%，主要原因是例行节约，接待人数减少。具体情况如下：</w:t>
      </w:r>
      <w:bookmarkStart w:id="54" w:name="_GoBack"/>
      <w:bookmarkEnd w:id="54"/>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因公出国（境）费支出0万元，开支内容包括：无因公出国境费。单位全年安排的因公出国（境）团组0个，因公出国（境）0人次。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15.50万元，其中，公务用车购置费0万元，公务用车运行维护费15.50万元。公务用车运行维护费开支内容包括公务用车加油、保险费、过路费、维护费。公务用车购置数0辆，公务用车保有量4辆。</w:t>
      </w:r>
    </w:p>
    <w:p>
      <w:pPr>
        <w:ind w:firstLine="640" w:firstLineChars="200"/>
        <w:rPr>
          <w:rFonts w:ascii="仿宋_GB2312" w:eastAsia="仿宋_GB2312"/>
          <w:sz w:val="32"/>
          <w:szCs w:val="32"/>
        </w:rPr>
      </w:pPr>
      <w:r>
        <w:rPr>
          <w:rFonts w:ascii="仿宋_GB2312" w:hAnsi="仿宋_GB2312" w:eastAsia="仿宋_GB2312" w:cs="仿宋_GB2312"/>
          <w:sz w:val="32"/>
        </w:rPr>
        <w:t>公务接待费10.88万元，开支内容包括国内公务接待支出10.88万元。单位全年安排的国内公务接待158批次，1220人次。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26.37万元，决算数26.37万元，预决算差异率0%，主要原因是：无差异。其中：因公出国（境）费预算数0万元，决算数0万元，预决算差异率0%，主要原因是：无因公出国境费；公务用车购置费预算数0万元，决算数0万元，预决算差异率0%，主要原因是：无公务用车购置数；公务用车运行费预算数15.50万元，决算数15.50万元，预决算差异率0%，主要原因是：无差异；公务接待费预算数10.88万元，决算数10.88万元，预决算差异率0%，主要原因是：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2019年度新疆喀什地区泽普县纪律检查委员会机关运行经费支出48.91万元，比上年增加8.48万元，增长20.97%，主要原因是本年新增派驻组办公设备购置费。</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2019年度政府采购支出总额34万元，其中：政府采购货物支出32.42万元、政府采购工程支出0万元、政府采购服务支出1.57万元。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授予中小企业合同金额34万元，占政府采购支出总额的100%，其中：授予小微企业合同金额34万元，占政府采购支出总额的100%。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4辆，价值73.52万元，其中：副部（省）级及以上领导用车0辆、主要领导干部用车0辆、机要通信用车0辆、应急保障用车0辆、执法执勤用车1辆、特种专业技术用车0辆、离退休干部用车0辆、其他用车3辆，其他用车主要是：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3个，共涉及资金82.91万元。预算绩效管理取得的成效：2019年本单位整体支出绩效目标实为保障机构正常运转，完成日常工作任务；充分利用合理资源，发挥最大社会效益；确保部门正常运转，维护党的章程和其他党内法规，检查党的路线、方针、政策和决议的执行情况，协助党的委员会加强党风建设和组织协调反腐败工作；保障乡镇纪检办案人员切身利益，加强党风建设和组织协调反腐败工作。发现的问题及原因：一是项目因建设点位置变动、基础处理时间较长等原因，工程进展缓慢。二是资金拨付督促指导不到位，由于财政资金紧张等原因，泽普县“走读式”谈话室建设已审计完成，财政未拨付剩余资金。下一步改进措施：1、严把工程质量关
与住建、质监、审计等部门加强沟通，严格按要求进行建设，发现问题立即整改，确保项目按时间进度保质保量完成。
2、加强资金拨付力度
积极与县财政领导小组对接，确保2020年度剩余项目资金足额到位。具体项目自评情况附项目支出绩效自评表。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emBJ1Y7IH9n9HMNL2wPHn9iQVlY=" w:salt="n08Ui2ZF2cCTrquzWOKc7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6C12BC2"/>
    <w:rsid w:val="080060CC"/>
    <w:rsid w:val="085C3BE3"/>
    <w:rsid w:val="0F081AA5"/>
    <w:rsid w:val="10D51975"/>
    <w:rsid w:val="1236538F"/>
    <w:rsid w:val="177E5CED"/>
    <w:rsid w:val="17CF0177"/>
    <w:rsid w:val="17D82C4F"/>
    <w:rsid w:val="191E1B25"/>
    <w:rsid w:val="1D1038E2"/>
    <w:rsid w:val="1DAF458D"/>
    <w:rsid w:val="2A053397"/>
    <w:rsid w:val="2CE70BB5"/>
    <w:rsid w:val="2D1136DF"/>
    <w:rsid w:val="31C63837"/>
    <w:rsid w:val="32F16BB0"/>
    <w:rsid w:val="356D6771"/>
    <w:rsid w:val="3C7E2DBD"/>
    <w:rsid w:val="3D5275AC"/>
    <w:rsid w:val="3E6C7466"/>
    <w:rsid w:val="46733E1B"/>
    <w:rsid w:val="46901EEE"/>
    <w:rsid w:val="469C74D2"/>
    <w:rsid w:val="473F594D"/>
    <w:rsid w:val="50DB5F45"/>
    <w:rsid w:val="53B80075"/>
    <w:rsid w:val="596F6A07"/>
    <w:rsid w:val="5BB524CA"/>
    <w:rsid w:val="60B5027A"/>
    <w:rsid w:val="60E008AE"/>
    <w:rsid w:val="64FE1D5C"/>
    <w:rsid w:val="65CF7A7C"/>
    <w:rsid w:val="69AD798C"/>
    <w:rsid w:val="6B68175F"/>
    <w:rsid w:val="6CF5527A"/>
    <w:rsid w:val="73FB6630"/>
    <w:rsid w:val="77DE34E5"/>
    <w:rsid w:val="77ED6F44"/>
    <w:rsid w:val="7A2F58AD"/>
    <w:rsid w:val="7C7B7EEF"/>
    <w:rsid w:val="7DDC4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15</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2021-06-08T08:15:28Z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