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新疆喀什地区泽普县委2019年度部门决算公开说明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1、泽普县委办公室为行政单位，其主要职能:围绕县委中心任务开展工作，服务领导，协调各部门。内设专用通信局、翻译中心等。</w:t>
      </w:r>
    </w:p>
    <w:p>
      <w:pPr>
        <w:ind w:firstLine="480"/>
        <w:jc w:val="both"/>
      </w:pPr>
      <w:r>
        <w:rPr>
          <w:rFonts w:ascii="仿宋_GB2312" w:hAnsi="仿宋_GB2312" w:eastAsia="仿宋_GB2312" w:cs="仿宋_GB2312"/>
          <w:b w:val="0"/>
          <w:sz w:val="32"/>
        </w:rPr>
        <w:t>2、中共泽普县委机要保密局是县委工作机关，其主要职能：贯彻落实党中央、自治区党委、地委关于机要密码、保密工作的方针政策和加强党对机要保密工作的集中统一领导。</w:t>
      </w:r>
    </w:p>
    <w:p>
      <w:pPr>
        <w:ind w:firstLine="480"/>
        <w:jc w:val="both"/>
      </w:pPr>
      <w:r>
        <w:rPr>
          <w:rFonts w:ascii="仿宋_GB2312" w:hAnsi="仿宋_GB2312" w:eastAsia="仿宋_GB2312" w:cs="仿宋_GB2312"/>
          <w:b w:val="0"/>
          <w:sz w:val="32"/>
        </w:rPr>
        <w:t>3、泽普县委宣传部为行政单位。其主要职能：加强理论学习与研究,加强宣传部的纽带作用,积极配合各部门的工作,加强各部门的联系,积极主动行使宣传职能.充分利用各报社和广播站等新闻媒体,做好景区各活动的宣传工作。内设文明办、社科联、文联（参照公务员管理单位），文明办（全额事业单位）等。</w:t>
      </w:r>
    </w:p>
    <w:p>
      <w:pPr>
        <w:ind w:firstLine="480"/>
        <w:jc w:val="both"/>
      </w:pPr>
      <w:r>
        <w:rPr>
          <w:rFonts w:ascii="仿宋_GB2312" w:hAnsi="仿宋_GB2312" w:eastAsia="仿宋_GB2312" w:cs="仿宋_GB2312"/>
          <w:b w:val="0"/>
          <w:sz w:val="32"/>
        </w:rPr>
        <w:t>4、泽普县档案史志馆属于参照公务员管理单位，其主要职能:编写党史、县志、指导全县的档案工作。</w:t>
      </w:r>
    </w:p>
    <w:p>
      <w:pPr>
        <w:ind w:firstLine="480"/>
        <w:jc w:val="both"/>
      </w:pPr>
      <w:r>
        <w:rPr>
          <w:rFonts w:ascii="仿宋_GB2312" w:hAnsi="仿宋_GB2312" w:eastAsia="仿宋_GB2312" w:cs="仿宋_GB2312"/>
          <w:b w:val="0"/>
          <w:sz w:val="32"/>
        </w:rPr>
        <w:t>5、泽普县妇女联合会为行政单位，其主要职能：根据党的中心工作任务，指导各级妇联依照《中华全国妇女联合会章程》和妇女代表大会的决议，开展妇女儿童工作，联系团体会员并给与业务指导。</w:t>
      </w:r>
    </w:p>
    <w:p>
      <w:pPr>
        <w:ind w:firstLine="480"/>
        <w:jc w:val="both"/>
      </w:pPr>
      <w:r>
        <w:rPr>
          <w:rFonts w:ascii="仿宋_GB2312" w:hAnsi="仿宋_GB2312" w:eastAsia="仿宋_GB2312" w:cs="仿宋_GB2312"/>
          <w:b w:val="0"/>
          <w:sz w:val="32"/>
        </w:rPr>
        <w:t>6、泽普县团委为行政单位。其主要职能：领导全县共青团工作。主要负责协助、参与、处理社会上与青少年利益相关的工作；负责县未成年人保护方面的日常工作；负责、指导并组织面向全县青少年的思想理论教育、宣传文化活动，培养、选拔、推荐优秀青年等相关工作。</w:t>
      </w:r>
    </w:p>
    <w:p>
      <w:pPr>
        <w:ind w:firstLine="480"/>
        <w:jc w:val="both"/>
      </w:pPr>
      <w:r>
        <w:rPr>
          <w:rFonts w:ascii="仿宋_GB2312" w:hAnsi="仿宋_GB2312" w:eastAsia="仿宋_GB2312" w:cs="仿宋_GB2312"/>
          <w:b w:val="0"/>
          <w:sz w:val="32"/>
        </w:rPr>
        <w:t>7、泽普县总工会为行政单位，其主要职能：围绕县委的工作部署要求，研究制定工作计划，组织、指导、开展本县的工会工作。</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新疆喀什地区泽普县委2019年度，实有人数70人，其中：在职人员70人，离休人员0人，退休人员0人。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从部门决算单位构成看，新疆喀什地区泽普县委部门决算包括：新疆喀什地区泽普县委决算。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1,719.79万元，与上年相比，减少1,116.58万元，下降39.37%，主要原因是：县委机关部门厉行节约、压减开支，项目支出减少；机构改革减少农办、统战部（含工商联）。本年支出1,727.92万元，与上年相比，减少1,301.45万元，下降42.96%，主要原因是：县委机关部门厉行节约、压减开支，项目支出减少；机构改革减少农办、统战部（含工商联）。</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2019年度本年收入1,719.79万元，其中：财政拨款收入1,719.52万元，占99.98%；上级补助收入0万元，占0%；事业收入0万元，占0%；经营收入0万元，占0%；附属单位上缴收入0万元，占0%；其他收入0.26万元，占0.02%。</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2019年度本年支出1,727.92万元，其中：基本支出1,273.63万元，占73.71%；项目支出454.29万元，占26.29%；上缴上级支出0万元，占0%；经营支出0万元，占0%；对附属单位补助支出0万元，占0%。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1,719.52万元，与上年相比，减少966.08万元，下降35.97%，主要原因是：县委机关部门厉行节约、压减开支，项目支出减少；机构改革减少农办、统战部（含工商联）。财政拨款支出1,719.52万元，与上年相比，减少1,122.19万元，下降39.49%，主要原因是：县委机关部门厉行节约、压减开支，项目支出减少；机构改革减少农办、统战部（含工商联）。</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1,601.77万元，决算数1,719.52万元，预决算差异率7.35%，主要原因是：其他收入不在年初预算数，当年追加项目支出。财政拨款支出年初预算数1,601.77万元，决算数1,719.52万元，预决算差异率7.35%，主要原因是：其他收入不在年初预算数，当年追加项目支出。</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2019年度一般公共预算财政拨款支出1,719.52万元。按功能分类科目项级科目公开，其中：</w:t>
      </w:r>
    </w:p>
    <w:p>
      <w:pPr>
        <w:ind w:firstLine="480"/>
        <w:jc w:val="both"/>
      </w:pPr>
      <w:r>
        <w:rPr>
          <w:rFonts w:ascii="仿宋_GB2312" w:hAnsi="仿宋_GB2312" w:eastAsia="仿宋_GB2312" w:cs="仿宋_GB2312"/>
          <w:b w:val="0"/>
          <w:sz w:val="32"/>
        </w:rPr>
        <w:t xml:space="preserve">   2012601行政运行支出114.67万元；</w:t>
      </w:r>
    </w:p>
    <w:p>
      <w:pPr>
        <w:ind w:firstLine="480"/>
        <w:jc w:val="both"/>
      </w:pPr>
      <w:r>
        <w:rPr>
          <w:rFonts w:ascii="仿宋_GB2312" w:hAnsi="仿宋_GB2312" w:eastAsia="仿宋_GB2312" w:cs="仿宋_GB2312"/>
          <w:b w:val="0"/>
          <w:sz w:val="32"/>
        </w:rPr>
        <w:t xml:space="preserve">   2012699其他档案事务支出6.97万元；</w:t>
      </w:r>
    </w:p>
    <w:p>
      <w:pPr>
        <w:ind w:firstLine="480"/>
        <w:jc w:val="both"/>
      </w:pPr>
      <w:r>
        <w:rPr>
          <w:rFonts w:ascii="仿宋_GB2312" w:hAnsi="仿宋_GB2312" w:eastAsia="仿宋_GB2312" w:cs="仿宋_GB2312"/>
          <w:b w:val="0"/>
          <w:sz w:val="32"/>
        </w:rPr>
        <w:t xml:space="preserve">   2012801行政运行支出8.28万元；</w:t>
      </w:r>
    </w:p>
    <w:p>
      <w:pPr>
        <w:ind w:firstLine="480"/>
        <w:jc w:val="both"/>
      </w:pPr>
      <w:r>
        <w:rPr>
          <w:rFonts w:ascii="仿宋_GB2312" w:hAnsi="仿宋_GB2312" w:eastAsia="仿宋_GB2312" w:cs="仿宋_GB2312"/>
          <w:b w:val="0"/>
          <w:sz w:val="32"/>
        </w:rPr>
        <w:t xml:space="preserve">   2012901行政运行支出118.11万元；</w:t>
      </w:r>
    </w:p>
    <w:p>
      <w:pPr>
        <w:ind w:firstLine="480"/>
        <w:jc w:val="both"/>
      </w:pPr>
      <w:r>
        <w:rPr>
          <w:rFonts w:ascii="仿宋_GB2312" w:hAnsi="仿宋_GB2312" w:eastAsia="仿宋_GB2312" w:cs="仿宋_GB2312"/>
          <w:b w:val="0"/>
          <w:sz w:val="32"/>
        </w:rPr>
        <w:t xml:space="preserve">   2012999其他群众团体事务支出51.82万元；</w:t>
      </w:r>
    </w:p>
    <w:p>
      <w:pPr>
        <w:ind w:firstLine="480"/>
        <w:jc w:val="both"/>
      </w:pPr>
      <w:r>
        <w:rPr>
          <w:rFonts w:ascii="仿宋_GB2312" w:hAnsi="仿宋_GB2312" w:eastAsia="仿宋_GB2312" w:cs="仿宋_GB2312"/>
          <w:b w:val="0"/>
          <w:sz w:val="32"/>
        </w:rPr>
        <w:t xml:space="preserve">   2013101行政运行支出646.72万元；</w:t>
      </w:r>
    </w:p>
    <w:p>
      <w:pPr>
        <w:ind w:firstLine="480"/>
        <w:jc w:val="both"/>
      </w:pPr>
      <w:r>
        <w:rPr>
          <w:rFonts w:ascii="仿宋_GB2312" w:hAnsi="仿宋_GB2312" w:eastAsia="仿宋_GB2312" w:cs="仿宋_GB2312"/>
          <w:b w:val="0"/>
          <w:sz w:val="32"/>
        </w:rPr>
        <w:t xml:space="preserve">   2013150事业运行支出25.31万元；</w:t>
      </w:r>
    </w:p>
    <w:p>
      <w:pPr>
        <w:ind w:firstLine="480"/>
        <w:jc w:val="both"/>
      </w:pPr>
      <w:r>
        <w:rPr>
          <w:rFonts w:ascii="仿宋_GB2312" w:hAnsi="仿宋_GB2312" w:eastAsia="仿宋_GB2312" w:cs="仿宋_GB2312"/>
          <w:b w:val="0"/>
          <w:sz w:val="32"/>
        </w:rPr>
        <w:t xml:space="preserve">   2013199其他党委办公厅（室）及相关机构事务支出32.69万元；</w:t>
      </w:r>
    </w:p>
    <w:p>
      <w:pPr>
        <w:ind w:firstLine="480"/>
        <w:jc w:val="both"/>
      </w:pPr>
      <w:r>
        <w:rPr>
          <w:rFonts w:ascii="仿宋_GB2312" w:hAnsi="仿宋_GB2312" w:eastAsia="仿宋_GB2312" w:cs="仿宋_GB2312"/>
          <w:b w:val="0"/>
          <w:sz w:val="32"/>
        </w:rPr>
        <w:t xml:space="preserve">   2013301行政运行支出119.89万元；</w:t>
      </w:r>
    </w:p>
    <w:p>
      <w:pPr>
        <w:ind w:firstLine="480"/>
        <w:jc w:val="both"/>
      </w:pPr>
      <w:r>
        <w:rPr>
          <w:rFonts w:ascii="仿宋_GB2312" w:hAnsi="仿宋_GB2312" w:eastAsia="仿宋_GB2312" w:cs="仿宋_GB2312"/>
          <w:b w:val="0"/>
          <w:sz w:val="32"/>
        </w:rPr>
        <w:t xml:space="preserve">   2013399其他宣传事务支出28.57万元；</w:t>
      </w:r>
    </w:p>
    <w:p>
      <w:pPr>
        <w:ind w:firstLine="480"/>
        <w:jc w:val="both"/>
      </w:pPr>
      <w:r>
        <w:rPr>
          <w:rFonts w:ascii="仿宋_GB2312" w:hAnsi="仿宋_GB2312" w:eastAsia="仿宋_GB2312" w:cs="仿宋_GB2312"/>
          <w:b w:val="0"/>
          <w:sz w:val="32"/>
        </w:rPr>
        <w:t xml:space="preserve">   2013401行政运行支出35.59万元；</w:t>
      </w:r>
    </w:p>
    <w:p>
      <w:pPr>
        <w:ind w:firstLine="480"/>
        <w:jc w:val="both"/>
      </w:pPr>
      <w:r>
        <w:rPr>
          <w:rFonts w:ascii="仿宋_GB2312" w:hAnsi="仿宋_GB2312" w:eastAsia="仿宋_GB2312" w:cs="仿宋_GB2312"/>
          <w:b w:val="0"/>
          <w:sz w:val="32"/>
        </w:rPr>
        <w:t xml:space="preserve">   2013450事业运行支出5.33万元；</w:t>
      </w:r>
    </w:p>
    <w:p>
      <w:pPr>
        <w:ind w:firstLine="480"/>
        <w:jc w:val="both"/>
      </w:pPr>
      <w:r>
        <w:rPr>
          <w:rFonts w:ascii="仿宋_GB2312" w:hAnsi="仿宋_GB2312" w:eastAsia="仿宋_GB2312" w:cs="仿宋_GB2312"/>
          <w:b w:val="0"/>
          <w:sz w:val="32"/>
        </w:rPr>
        <w:t xml:space="preserve">   2013499其他统战事务支出299.47万元；</w:t>
      </w:r>
    </w:p>
    <w:p>
      <w:pPr>
        <w:ind w:firstLine="480"/>
        <w:jc w:val="both"/>
      </w:pPr>
      <w:r>
        <w:rPr>
          <w:rFonts w:ascii="仿宋_GB2312" w:hAnsi="仿宋_GB2312" w:eastAsia="仿宋_GB2312" w:cs="仿宋_GB2312"/>
          <w:b w:val="0"/>
          <w:sz w:val="32"/>
        </w:rPr>
        <w:t xml:space="preserve">   2013601行政运行支出11.27万元；</w:t>
      </w:r>
    </w:p>
    <w:p>
      <w:pPr>
        <w:ind w:firstLine="480"/>
        <w:jc w:val="both"/>
      </w:pPr>
      <w:r>
        <w:rPr>
          <w:rFonts w:ascii="仿宋_GB2312" w:hAnsi="仿宋_GB2312" w:eastAsia="仿宋_GB2312" w:cs="仿宋_GB2312"/>
          <w:b w:val="0"/>
          <w:sz w:val="32"/>
        </w:rPr>
        <w:t xml:space="preserve">   2013799其他网信事务支出15万元；</w:t>
      </w:r>
    </w:p>
    <w:p>
      <w:pPr>
        <w:ind w:firstLine="480"/>
        <w:jc w:val="both"/>
      </w:pPr>
      <w:r>
        <w:rPr>
          <w:rFonts w:ascii="仿宋_GB2312" w:hAnsi="仿宋_GB2312" w:eastAsia="仿宋_GB2312" w:cs="仿宋_GB2312"/>
          <w:b w:val="0"/>
          <w:sz w:val="32"/>
        </w:rPr>
        <w:t xml:space="preserve">   2049901其他公共安全支出3.92万元；</w:t>
      </w:r>
    </w:p>
    <w:p>
      <w:pPr>
        <w:ind w:firstLine="480"/>
        <w:jc w:val="both"/>
      </w:pPr>
      <w:r>
        <w:rPr>
          <w:rFonts w:ascii="仿宋_GB2312" w:hAnsi="仿宋_GB2312" w:eastAsia="仿宋_GB2312" w:cs="仿宋_GB2312"/>
          <w:b w:val="0"/>
          <w:sz w:val="32"/>
        </w:rPr>
        <w:t xml:space="preserve">   2079999其他文化体育与传媒支出8万元；</w:t>
      </w:r>
    </w:p>
    <w:p>
      <w:pPr>
        <w:ind w:firstLine="480"/>
        <w:jc w:val="both"/>
      </w:pPr>
      <w:r>
        <w:rPr>
          <w:rFonts w:ascii="仿宋_GB2312" w:hAnsi="仿宋_GB2312" w:eastAsia="仿宋_GB2312" w:cs="仿宋_GB2312"/>
          <w:b w:val="0"/>
          <w:sz w:val="32"/>
        </w:rPr>
        <w:t xml:space="preserve">   2080505机关事业单位基本养老保险缴费支出105.19万元；</w:t>
      </w:r>
    </w:p>
    <w:p>
      <w:pPr>
        <w:ind w:firstLine="480"/>
        <w:jc w:val="both"/>
      </w:pPr>
      <w:r>
        <w:rPr>
          <w:rFonts w:ascii="仿宋_GB2312" w:hAnsi="仿宋_GB2312" w:eastAsia="仿宋_GB2312" w:cs="仿宋_GB2312"/>
          <w:b w:val="0"/>
          <w:sz w:val="32"/>
        </w:rPr>
        <w:t xml:space="preserve">   2130505生产发展支出5.45万元；</w:t>
      </w:r>
    </w:p>
    <w:p>
      <w:pPr>
        <w:ind w:firstLine="480"/>
        <w:jc w:val="both"/>
      </w:pPr>
      <w:r>
        <w:rPr>
          <w:rFonts w:ascii="仿宋_GB2312" w:hAnsi="仿宋_GB2312" w:eastAsia="仿宋_GB2312" w:cs="仿宋_GB2312"/>
          <w:b w:val="0"/>
          <w:sz w:val="32"/>
        </w:rPr>
        <w:t xml:space="preserve">   2210201住房公积金支出77.29万元。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2019年度一般公共预算财政拨款基本支出1,271.55万元，其中：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990.10万元，包括：基本工资、津贴补贴、绩效工资、机关事业单位基本养老保险缴费、职工基本医疗保险缴费、公务员医疗补助缴费、其他社会保障缴费、住房公积金、其他工资福利支出、抚恤金、生活补助、奖励金、其他对个人和家庭的补助。</w:t>
      </w:r>
    </w:p>
    <w:p>
      <w:pPr>
        <w:ind w:firstLine="640" w:firstLineChars="200"/>
        <w:rPr>
          <w:rFonts w:hint="eastAsia" w:ascii="仿宋_GB2312" w:eastAsia="仿宋_GB2312"/>
          <w:sz w:val="32"/>
          <w:szCs w:val="32"/>
          <w:lang w:val="en-US" w:eastAsia="zh-CN"/>
        </w:rPr>
      </w:pPr>
      <w:r>
        <w:rPr>
          <w:rFonts w:ascii="仿宋_GB2312" w:hAnsi="仿宋_GB2312" w:eastAsia="仿宋_GB2312" w:cs="仿宋_GB2312"/>
          <w:sz w:val="32"/>
        </w:rPr>
        <w:t>公用经费281.45万元，包括：办公费、印刷费、电费、邮电费、取暖费、差旅费、维修（护）费、会议费、培训费、公务接待费、劳务费、公务用车运行维护费、其他交通费用、其他商品和服务支出</w:t>
      </w:r>
      <w:r>
        <w:rPr>
          <w:rFonts w:hint="eastAsia" w:ascii="仿宋_GB2312" w:hAnsi="仿宋_GB2312" w:eastAsia="仿宋_GB2312" w:cs="仿宋_GB2312"/>
          <w:sz w:val="32"/>
          <w:lang w:eastAsia="zh-CN"/>
        </w:rPr>
        <w:t>、办公设备购置费。</w:t>
      </w:r>
      <w:bookmarkStart w:id="54" w:name="_GoBack"/>
      <w:bookmarkEnd w:id="54"/>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76.48万元，比上年减少30.46万元，降低28.48%，主要原因是严格执行中央八项规定，压缩三公经费。其中，因公出国（境）费支出0万元，占0%，比上年增加0万元，增长0%，主要原因是无因公出国（境）费；公务用车购置及运行维护费支出50.66万元，占66.24%，比上年减少21.55万元，降低29.84%，主要原因是严格执行中央八项规定，压缩三公经费；公务接待费支出25.82万元，占33.76%，比上年减少8.91万元，降低25.66%，主要原因是严格执行中央八项规定，压缩三公经费。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因公出国（境）费支出0万元，开支内容包括：无因公出国（境）费。单位全年安排的因公出国（境）团组0个，因公出国（境）0人次。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50.66万元，其中，公务用车购置费0万元，公务用车运行维护费50.66万元。公务用车运行维护费开支内容包括汽车油料、维护费、过路费、车辆保险费、审验费等。公务用车购置数0辆，公务用车保有量13辆。</w:t>
      </w:r>
    </w:p>
    <w:p>
      <w:pPr>
        <w:ind w:firstLine="640" w:firstLineChars="200"/>
        <w:rPr>
          <w:rFonts w:ascii="仿宋_GB2312" w:eastAsia="仿宋_GB2312"/>
          <w:sz w:val="32"/>
          <w:szCs w:val="32"/>
        </w:rPr>
      </w:pPr>
      <w:r>
        <w:rPr>
          <w:rFonts w:ascii="仿宋_GB2312" w:hAnsi="仿宋_GB2312" w:eastAsia="仿宋_GB2312" w:cs="仿宋_GB2312"/>
          <w:sz w:val="32"/>
        </w:rPr>
        <w:t>公务接待费25.82万元，开支内容包括国内公务接待支出25.82万元。单位全年安排的国内公务接待52批次，1204人次。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76.48万元，决算数76.48万元，预决算差异率0%，主要原因是：无差异。其中：因公出国（境）费预算数0万元，决算数0万元，预决算差异率0%，主要原因是：无差异；公务用车购置费预算数0万元，决算数0万元，预决算差异率0%，主要原因是：无差异；公务用车运行费预算数50.66万元，决算数50.66万元，预决算差异率0%，主要原因是：无差异；公务接待费预算数25.82万元，决算数25.82万元，预决算差异率0%，主要原因是：无差异。</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泽普县委机关运行经费支出281.45万元，比上年减少405.50万元，降低59.03%，主要原因是2019年度县委机关7部门运行经费支出281.45万元，比上年减少405.50万元，降低59.03%，主要原因是严格执行中央八项规定，压缩三公经费；机构改革减少农办、统战部（含工商联）。</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2019年度政府采购支出总额57.73万元，其中：政府采购货物支出50.78万元、政府采购工程支出0万元、政府采购服务支出6.94万元。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授予中小企业合同金额57.73万元，占政府采购支出总额的100%，其中：授予小微企业合同金额57.73万元，占政府采购支出总额的100%。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8,370（平方米），价值994.52万元。车辆13辆，价值239.72万元，其中：副部（省）级及以上领导用车0辆、主要领导干部用车0辆、机要通信用车1辆、应急保障用车0辆、执法执勤用车2辆、特种专业技术用车0辆、离退休干部用车0辆、其他用车10辆，其他用车主要是：部门公务用车、会务用车等；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rPr>
      </w:pPr>
      <w:r>
        <w:rPr>
          <w:rFonts w:ascii="仿宋_GB2312" w:hAnsi="仿宋_GB2312" w:eastAsia="仿宋_GB2312" w:cs="仿宋_GB2312"/>
          <w:sz w:val="32"/>
        </w:rPr>
        <w:t>根据预算绩效管理要求，我单位2019年度开展预算绩效评价项目12个，共涉及资金454.29万元。预算绩效管理取得的成效：确保部门正常运转，促进本地区经济建设、社会发展，加强党的自身建设，为党和政府培养出色的领导人和接班人； 充分利用合理资源，发挥最大社会效益；维护社会大局，保障本地安全，打好脱贫攻坚战，扎实做好为人民服务；扎实做好基层建设工作，加强精神文明建设。发现的问题及原因：无。下一步改进措施：进一步细化项目绩效目标，充分发挥项目效果。具体项目自评情况附项目支出绩效自评表。</w:t>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5STQfgMCAAAEBAAADgAAAAAAAAABACAAAAAeAQAAZHJzL2Uyb0Rv&#10;Yy54bWxQSwUGAAAAAAYABgBZAQAAkw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val="1"/>
  <w:bordersDoNotSurroundFooter w:val="1"/>
  <w:documentProtection w:edit="comments" w:enforcement="1" w:cryptProviderType="rsaFull" w:cryptAlgorithmClass="hash" w:cryptAlgorithmType="typeAny" w:cryptAlgorithmSid="4" w:cryptSpinCount="0" w:hash="SiRjnUpiFVXx+YdGTLUpvAeupp0=" w:salt="7xo3Y1mXbz/FKOCHyLbvs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5D1FE2"/>
    <w:rsid w:val="31767D0F"/>
    <w:rsid w:val="31C63837"/>
    <w:rsid w:val="32C40AD2"/>
    <w:rsid w:val="3D5275AC"/>
    <w:rsid w:val="407F105D"/>
    <w:rsid w:val="46901EEE"/>
    <w:rsid w:val="469C74D2"/>
    <w:rsid w:val="49D579A9"/>
    <w:rsid w:val="50DB5F45"/>
    <w:rsid w:val="5ECB7873"/>
    <w:rsid w:val="645142A1"/>
    <w:rsid w:val="69AD798C"/>
    <w:rsid w:val="6B4C5B33"/>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11</TotalTime>
  <ScaleCrop>false</ScaleCrop>
  <LinksUpToDate>false</LinksUpToDate>
  <CharactersWithSpaces>6899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cp:lastModifiedBy>
  <dcterms:modified xsi:type="dcterms:W3CDTF">2021-06-08T08:27:00Z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