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bookmarkStart w:id="54" w:name="_GoBack"/>
      <w:bookmarkEnd w:id="54"/>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新疆喀什地区泽普县公安局2019年度部门决算公开说明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贯彻执行党中央、国务院关于公安工作的方针、政策和法律、法规，统一领导、指挥全县公安工作及承担全县安全警卫工作完成县委和上级宣传部门交办的其它工作任务。</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新疆喀什地区泽普县公安局2019年度，实有人数0人，其中：在职人员</w:t>
      </w:r>
      <w:r>
        <w:rPr>
          <w:rFonts w:hint="eastAsia" w:ascii="仿宋_GB2312" w:hAnsi="仿宋_GB2312" w:eastAsia="仿宋_GB2312" w:cs="仿宋_GB2312"/>
          <w:sz w:val="32"/>
          <w:lang w:val="en-US" w:eastAsia="zh-CN"/>
        </w:rPr>
        <w:t>0</w:t>
      </w:r>
      <w:r>
        <w:rPr>
          <w:rFonts w:ascii="仿宋_GB2312" w:hAnsi="仿宋_GB2312" w:eastAsia="仿宋_GB2312" w:cs="仿宋_GB2312"/>
          <w:sz w:val="32"/>
        </w:rPr>
        <w:t>人，离休人员0人，退休人员0。因人员信息涉密，不予公开。</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从部门决算单位构成看，新疆喀什地区泽普县公安局部门决算包括：新疆喀什地区泽普县公安局决算。</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17,043.67万元，与上年相比，减少1,810.86万元，下降9.6%，主要原因是：公共安全项目经费减少。本年支出17,043.67万元，与上年相比，减少2,180.47万元，下降11.34%，主要原因是：公共安全项目经费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2019年度本年收入17,043.67万元，其中：财政拨款收入17,043.67万元，占100%；上级补助收入0万元，占0%；事业收入0万元，占0%；经营收入0万元，占0%；附属单位上缴收入0万元，占0%；其他收入0万元，占0%。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2019年度本年支出17,043.67万元，其中：基本支出12,902.24万元，占75.7%；项目支出4,141.43万元，占24.3%；上缴上级支出0万元，占0%；经营支出0万元，占0%；对附属单位补助支出0万元，占0%。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17,043.67万元，与上年相比，减少1,810.86万元，下降9.6%，主要原因是：公共安全项目经费减少。财政拨款支出17,043.67万元，与上年相比，减少2,180.47万元，下降11.34%，主要原因是：公共安全项目经费减少。</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13,634.53万元，决算数17,043.67万元，预决算差异率25%，主要原因是：工资套改调增，县级事业编和内招人员其他供养人员增加，人员开支增加，公用经费支出相应增加，项目增加。财政拨款支出年初预算数13,634.53万元，决算数17,043.67万元，预决算差异率25%，主要原因是：工资套改调增，县级事业编和内招人员其他供养人员增加，人员开支增加，公用经费支出相应增加，项目增加。</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2019年度一般公共预算财政拨款支出17,043.67万元。按功能分类科目项级科目公开，其中：</w:t>
      </w:r>
    </w:p>
    <w:p>
      <w:pPr>
        <w:ind w:firstLine="480"/>
        <w:jc w:val="both"/>
      </w:pPr>
      <w:r>
        <w:rPr>
          <w:rFonts w:ascii="仿宋_GB2312" w:hAnsi="仿宋_GB2312" w:eastAsia="仿宋_GB2312" w:cs="仿宋_GB2312"/>
          <w:b w:val="0"/>
          <w:sz w:val="32"/>
        </w:rPr>
        <w:t xml:space="preserve">   2040201行政运行支出9,876.41万元；</w:t>
      </w:r>
    </w:p>
    <w:p>
      <w:pPr>
        <w:ind w:firstLine="480"/>
        <w:jc w:val="both"/>
      </w:pPr>
      <w:r>
        <w:rPr>
          <w:rFonts w:ascii="仿宋_GB2312" w:hAnsi="仿宋_GB2312" w:eastAsia="仿宋_GB2312" w:cs="仿宋_GB2312"/>
          <w:b w:val="0"/>
          <w:sz w:val="32"/>
        </w:rPr>
        <w:t xml:space="preserve">   2040220执法办案支出686.36万元；</w:t>
      </w:r>
    </w:p>
    <w:p>
      <w:pPr>
        <w:ind w:firstLine="480"/>
        <w:jc w:val="both"/>
      </w:pPr>
      <w:r>
        <w:rPr>
          <w:rFonts w:ascii="仿宋_GB2312" w:hAnsi="仿宋_GB2312" w:eastAsia="仿宋_GB2312" w:cs="仿宋_GB2312"/>
          <w:b w:val="0"/>
          <w:sz w:val="32"/>
        </w:rPr>
        <w:t xml:space="preserve">   2040221特别业务支出50万元；</w:t>
      </w:r>
    </w:p>
    <w:p>
      <w:pPr>
        <w:ind w:firstLine="480"/>
        <w:jc w:val="both"/>
      </w:pPr>
      <w:r>
        <w:rPr>
          <w:rFonts w:ascii="仿宋_GB2312" w:hAnsi="仿宋_GB2312" w:eastAsia="仿宋_GB2312" w:cs="仿宋_GB2312"/>
          <w:b w:val="0"/>
          <w:sz w:val="32"/>
        </w:rPr>
        <w:t xml:space="preserve">   2040299其他公安支出5,265.83万元；</w:t>
      </w:r>
    </w:p>
    <w:p>
      <w:pPr>
        <w:ind w:firstLine="480"/>
        <w:jc w:val="both"/>
      </w:pPr>
      <w:r>
        <w:rPr>
          <w:rFonts w:ascii="仿宋_GB2312" w:hAnsi="仿宋_GB2312" w:eastAsia="仿宋_GB2312" w:cs="仿宋_GB2312"/>
          <w:b w:val="0"/>
          <w:sz w:val="32"/>
        </w:rPr>
        <w:t xml:space="preserve">   2049901其他公共安全支出33.60万元；</w:t>
      </w:r>
    </w:p>
    <w:p>
      <w:pPr>
        <w:ind w:firstLine="480"/>
        <w:jc w:val="both"/>
      </w:pPr>
      <w:r>
        <w:rPr>
          <w:rFonts w:ascii="仿宋_GB2312" w:hAnsi="仿宋_GB2312" w:eastAsia="仿宋_GB2312" w:cs="仿宋_GB2312"/>
          <w:b w:val="0"/>
          <w:sz w:val="32"/>
        </w:rPr>
        <w:t xml:space="preserve">   2080505机关事业单位基本养老保险缴费支出647.75万元；</w:t>
      </w:r>
    </w:p>
    <w:p>
      <w:pPr>
        <w:ind w:firstLine="480"/>
        <w:jc w:val="both"/>
      </w:pPr>
      <w:r>
        <w:rPr>
          <w:rFonts w:ascii="仿宋_GB2312" w:hAnsi="仿宋_GB2312" w:eastAsia="仿宋_GB2312" w:cs="仿宋_GB2312"/>
          <w:b w:val="0"/>
          <w:sz w:val="32"/>
        </w:rPr>
        <w:t xml:space="preserve">   2210201住房公积金支出483.71万元。</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2019年度一般公共预算财政拨款基本支出12,902.24万元，其中：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10,608.59万元，包括：基本工资、津贴补贴、绩效工资、机关事业单位基本养老保险缴费、职工基本医疗保险缴费、公务员医疗补助缴费、其他社会保障缴费、住房公积金、其他工资福利支出、退休费、抚恤金、生活补助、奖励金。</w:t>
      </w:r>
    </w:p>
    <w:p>
      <w:pPr>
        <w:ind w:firstLine="640" w:firstLineChars="200"/>
        <w:rPr>
          <w:rFonts w:ascii="仿宋_GB2312" w:eastAsia="仿宋_GB2312"/>
          <w:sz w:val="32"/>
          <w:szCs w:val="32"/>
        </w:rPr>
      </w:pPr>
      <w:r>
        <w:rPr>
          <w:rFonts w:ascii="仿宋_GB2312" w:hAnsi="仿宋_GB2312" w:eastAsia="仿宋_GB2312" w:cs="仿宋_GB2312"/>
          <w:sz w:val="32"/>
        </w:rPr>
        <w:t>公用经费2,293.65万元，包括：办公费、印刷费、咨询费、手续费、水费、电费、邮电费、取暖费、物业管理费、差旅费、维修（护）费、租赁费、培训费、专用材料费、被装购置费、劳务费、公务用车运行维护费。</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310.25万元，比上年增加15.97万元，增长5.43%，主要原因是车辆增加、巡逻力度加大。其中，因公出国（境）费支出0万元，占0%，比上年增加0万元，增长0%，主要原因是无因公出国（境）费；公务用车购置及运行维护费支出310.25万元，占100%，比上年增加15.97万元，增长5.43%，主要原因是车辆增加、巡逻力度加大；公务接待费支出0万元，占0%，比上年增加0万元，增长0%，主要原因是无公务接待费。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因公出国（境）费支出0万元，开支内容包括：无因公出国（境）费。单位全年安排的因公出国（境）团组0个，因公出国（境）0人次。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310.25万元，其中，公务用车购置费0万元，公务用车运行维护费310.25万元。公务用车运行维护费开支内容包括油料费、维修费、保险费、过路费、停车费、检测费等。公务用车购置数0辆，公务用车保有量94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公务接待费0万元，开支内容包括无公务接待费。单位全年安排的国内公务接待0批次，0人次。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310.25万元，决算数310.25万元，预决算差异率0%，主要原因是：无差异。其中：因公出国（境）费预算数0万元，决算数0万元，预决算差异率0%，主要原因是：无差异；公务用车购置费预算数0万元，决算数0万元，预决算差异率0%，主要原因是：无差异；公务用车运行费预算数310.25万元，决算数310.25万元，预决算差异率0%，主要原因是：严格执行八项规定厉行节约缩减经费。；公务接待费预算数0万元，决算数0万元，预决算差异率0%，主要原因是：无差异。</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2019年度新疆喀什地区泽普县公安局机关运行经费支出2,293.65万元，比上年增加1,234.89万元，增长116.64%，主要原因是县级事业编和内招人员其他供养人员增加，人员开支增加，公用经费支出相应增加。</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2019年度政府采购支出总额938.14万元，其中：政府采购货物支出938.14万元、政府采购工程支出0万元、政府采购服务支出0万元。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授予中小企业合同金额938.14万元，占政府采购支出总额的100%，其中：授予小微企业合同金额938.14万元，占政府采购支出总额的100%。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159,008.31（平方米），价值16,034.67万元。车辆94辆，价值963.05万元，其中：副部（省）级及以上领导用车0辆、主要领导干部用车0辆、机要通信用车0辆、应急保障用车0辆、执法执勤用车31辆、特种专业技术用车0辆、离退休干部用车0辆、其他用车63辆，其他用车主要是：公务用车；单位价值50万元以上通用设备20台（套）、单位价值100万元以上专用设备37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十、预算绩效的情况说明</w:t>
      </w:r>
      <w:bookmarkEnd w:id="32"/>
      <w:bookmarkEnd w:id="33"/>
    </w:p>
    <w:p>
      <w:pPr>
        <w:ind w:firstLine="640" w:firstLineChars="200"/>
        <w:rPr>
          <w:rFonts w:hint="default" w:ascii="仿宋_GB2312" w:eastAsia="仿宋_GB2312"/>
          <w:sz w:val="32"/>
          <w:szCs w:val="32"/>
          <w:lang w:val="en-US" w:eastAsia="zh-CN"/>
        </w:rPr>
      </w:pPr>
      <w:r>
        <w:rPr>
          <w:rFonts w:ascii="仿宋_GB2312" w:hAnsi="仿宋_GB2312" w:eastAsia="仿宋_GB2312" w:cs="仿宋_GB2312"/>
          <w:sz w:val="32"/>
        </w:rPr>
        <w:t>2019年度，本部门单位预算绩效自评情况</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2019年度开展预算绩效评价项目0个，共涉及资金0万元。我单位项目涉密，不予公开。</w:t>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2784"/>
      <w:bookmarkStart w:id="37" w:name="_Toc28903"/>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5STQfgMCAAAEBAAADgAAAAAAAAABACAAAAAeAQAAZHJzL2Uyb0Rv&#10;Yy54bWxQSwUGAAAAAAYABgBZAQAAkw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val="1"/>
  <w:bordersDoNotSurroundFooter w:val="1"/>
  <w:documentProtection w:edit="comments" w:enforcement="1" w:cryptProviderType="rsaFull" w:cryptAlgorithmClass="hash" w:cryptAlgorithmType="typeAny" w:cryptAlgorithmSid="4" w:cryptSpinCount="0" w:hash="41XLY8WY5zgnM0xw08IrJxEcVnk=" w:salt="qV/ylH+d1yxQjUHYcOuK7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4C3064D6"/>
    <w:rsid w:val="50DB5F45"/>
    <w:rsid w:val="6031415C"/>
    <w:rsid w:val="69AD798C"/>
    <w:rsid w:val="6B68175F"/>
    <w:rsid w:val="6DD6673B"/>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128</TotalTime>
  <ScaleCrop>false</ScaleCrop>
  <LinksUpToDate>false</LinksUpToDate>
  <CharactersWithSpaces>6899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cp:lastModifiedBy>
  <dcterms:modified xsi:type="dcterms:W3CDTF">2021-06-08T05:30:29Z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