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新疆喀什地区泽普县司法局2019年度部门决算公开说明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(一) 贯彻执行中共中央、自治区党委、地委有关司法行政工作的法律法规和方针、政策;负责全县司法行政法制建设，制定全县司法行政工作的政策措施和规范性文件，编制司法行政工作中长期规划、年度工作计划并组织实施。</w:t>
      </w:r>
    </w:p>
    <w:p>
      <w:pPr>
        <w:ind w:firstLine="480"/>
        <w:jc w:val="both"/>
      </w:pPr>
      <w:r>
        <w:rPr>
          <w:rFonts w:ascii="仿宋_GB2312" w:hAnsi="仿宋_GB2312" w:eastAsia="仿宋_GB2312" w:cs="仿宋_GB2312"/>
          <w:b w:val="0"/>
          <w:sz w:val="32"/>
        </w:rPr>
        <w:t>(二)负责县委全面依法治县委员会办公室日常工作;指导、协调和督促全县各乡镇、各行业依法治理工作，主管全县法制宣传教育和普及法律常识工作，制定全县法制宣传教育和全民普及法律常识规划并组织实施。</w:t>
      </w:r>
    </w:p>
    <w:p>
      <w:pPr>
        <w:ind w:firstLine="480"/>
        <w:jc w:val="both"/>
      </w:pPr>
      <w:r>
        <w:rPr>
          <w:rFonts w:ascii="仿宋_GB2312" w:hAnsi="仿宋_GB2312" w:eastAsia="仿宋_GB2312" w:cs="仿宋_GB2312"/>
          <w:b w:val="0"/>
          <w:sz w:val="32"/>
        </w:rPr>
        <w:t>(三)承办上级法律、法规、规章草案和规范性文件征求意见建议的工作。负责协调实施规范性文件中的有关争议和问题。负责行政规范性文件合法性审核、备案工作。组织开展政府规范性文件清理工作。　　　　　　　　　　　　　　　　　　　　　　　　　　　　　　　　　　　　　　　　　　　　　　　　</w:t>
      </w:r>
    </w:p>
    <w:p>
      <w:pPr>
        <w:ind w:firstLine="480"/>
        <w:jc w:val="both"/>
      </w:pPr>
      <w:r>
        <w:rPr>
          <w:rFonts w:ascii="仿宋_GB2312" w:hAnsi="仿宋_GB2312" w:eastAsia="仿宋_GB2312" w:cs="仿宋_GB2312"/>
          <w:b w:val="0"/>
          <w:sz w:val="32"/>
        </w:rPr>
        <w:t>(四)承担统筹推进法治政府建设的责任。指导、监督县人民政府各部门依法行政工作。负责行政执法的监督管理、综合协调工作，承担推进行政执法体制改革有关工作，推进严格规范公正文明执法。指导、监督全县行政复议和行政应诉工作。负责行政复议和应诉案件办理工作。</w:t>
      </w:r>
    </w:p>
    <w:p>
      <w:pPr>
        <w:ind w:firstLine="480"/>
        <w:jc w:val="both"/>
      </w:pPr>
      <w:r>
        <w:rPr>
          <w:rFonts w:ascii="仿宋_GB2312" w:hAnsi="仿宋_GB2312" w:eastAsia="仿宋_GB2312" w:cs="仿宋_GB2312"/>
          <w:b w:val="0"/>
          <w:sz w:val="32"/>
        </w:rPr>
        <w:t>(五)承担统筹规划法治社会建设的责任。推动人民参与和促进法治建设；指导依法治理和法治创建工作；负责人民监督员选任管理工作；指导、监督人民调解、行政调解、人民陪审员选任工作，推进司法所建设。负责促进和谐预防犯罪宣传教育工作。</w:t>
      </w:r>
    </w:p>
    <w:p>
      <w:pPr>
        <w:ind w:firstLine="480"/>
        <w:jc w:val="both"/>
      </w:pPr>
      <w:r>
        <w:rPr>
          <w:rFonts w:ascii="仿宋_GB2312" w:hAnsi="仿宋_GB2312" w:eastAsia="仿宋_GB2312" w:cs="仿宋_GB2312"/>
          <w:b w:val="0"/>
          <w:sz w:val="32"/>
        </w:rPr>
        <w:t>（六）指导、管理社区矫正工作。指导刑满释放人员帮教安置工作。负责恐怖活动、极端主义活动刑满释放人员的安置教育工作。负责社区服刑人员“去极端化”工作。</w:t>
      </w:r>
    </w:p>
    <w:p>
      <w:pPr>
        <w:ind w:firstLine="480"/>
        <w:jc w:val="both"/>
      </w:pPr>
      <w:r>
        <w:rPr>
          <w:rFonts w:ascii="仿宋_GB2312" w:hAnsi="仿宋_GB2312" w:eastAsia="仿宋_GB2312" w:cs="仿宋_GB2312"/>
          <w:b w:val="0"/>
          <w:sz w:val="32"/>
        </w:rPr>
        <w:t>（七）负责拟订公共法律服务体系建设规划并指导实施，统筹和布局城乡、区域法律服务资源。指导、监督律师、法律援助、公证、仲裁和基层法律服务管理工作。</w:t>
      </w:r>
    </w:p>
    <w:p>
      <w:pPr>
        <w:ind w:firstLine="480"/>
        <w:jc w:val="both"/>
      </w:pPr>
      <w:r>
        <w:rPr>
          <w:rFonts w:ascii="仿宋_GB2312" w:hAnsi="仿宋_GB2312" w:eastAsia="仿宋_GB2312" w:cs="仿宋_GB2312"/>
          <w:b w:val="0"/>
          <w:sz w:val="32"/>
        </w:rPr>
        <w:t>（八）负责泽普县法治对外合作工作。组织开展法治对外合作交流。承办涉港澳台的法律事务。参与有关国际司法协助。</w:t>
      </w:r>
    </w:p>
    <w:p>
      <w:pPr>
        <w:ind w:firstLine="480"/>
        <w:jc w:val="both"/>
      </w:pPr>
      <w:r>
        <w:rPr>
          <w:rFonts w:ascii="仿宋_GB2312" w:hAnsi="仿宋_GB2312" w:eastAsia="仿宋_GB2312" w:cs="仿宋_GB2312"/>
          <w:b w:val="0"/>
          <w:sz w:val="32"/>
        </w:rPr>
        <w:t> (九)负责本部门、本系统服装和警车管理工作，指导、监督本系统财务、装备、设施、场所等保障工作。</w:t>
      </w:r>
    </w:p>
    <w:p>
      <w:pPr>
        <w:ind w:firstLine="480"/>
        <w:jc w:val="both"/>
      </w:pPr>
      <w:r>
        <w:rPr>
          <w:rFonts w:ascii="仿宋_GB2312" w:hAnsi="仿宋_GB2312" w:eastAsia="仿宋_GB2312" w:cs="仿宋_GB2312"/>
          <w:b w:val="0"/>
          <w:sz w:val="32"/>
        </w:rPr>
        <w:t xml:space="preserve"> (十)规划、协调、指导法治人才队伍建设相关工作，指导、监督本部门、本系统队伍建设。负责本部门、本系统警务管理和警务督察工作。</w:t>
      </w:r>
    </w:p>
    <w:p>
      <w:pPr>
        <w:ind w:firstLine="480"/>
        <w:jc w:val="both"/>
      </w:pPr>
      <w:r>
        <w:rPr>
          <w:rFonts w:ascii="仿宋_GB2312" w:hAnsi="仿宋_GB2312" w:eastAsia="仿宋_GB2312" w:cs="仿宋_GB2312"/>
          <w:b w:val="0"/>
          <w:sz w:val="32"/>
        </w:rPr>
        <w:t>(十一)完成县委、县人民政府交办的其他任务。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新疆喀什地区泽普县司法局2019年度，实有人数0人，其中：在职人员</w:t>
      </w:r>
      <w:r>
        <w:rPr>
          <w:rFonts w:hint="eastAsia" w:ascii="仿宋_GB2312" w:hAnsi="仿宋_GB2312" w:eastAsia="仿宋_GB2312" w:cs="仿宋_GB2312"/>
          <w:sz w:val="32"/>
          <w:lang w:val="en-US" w:eastAsia="zh-CN"/>
        </w:rPr>
        <w:t>0</w:t>
      </w:r>
      <w:r>
        <w:rPr>
          <w:rFonts w:ascii="仿宋_GB2312" w:hAnsi="仿宋_GB2312" w:eastAsia="仿宋_GB2312" w:cs="仿宋_GB2312"/>
          <w:sz w:val="32"/>
        </w:rPr>
        <w:t>人，离休人员0人，退休人员0，因人员信息涉密，不予公开</w:t>
      </w:r>
      <w:bookmarkStart w:id="54" w:name="_GoBack"/>
      <w:bookmarkEnd w:id="54"/>
      <w:r>
        <w:rPr>
          <w:rFonts w:ascii="仿宋_GB2312" w:hAnsi="仿宋_GB2312" w:eastAsia="仿宋_GB2312" w:cs="仿宋_GB2312"/>
          <w:sz w:val="32"/>
        </w:rPr>
        <w:t>。</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从部门决算单位构成看，新疆喀什地区泽普县司法局部门决算包括：新疆喀什地区泽普县司法局决算。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741.58万元，与上年相比，增加82.68万元，增长12.55%，主要原因是：2019年新增基层司法业务项目经费。本年支出756.33万元，与上年相比，减少757.41万元，下降50.04%，主要原因是：培训机构经费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2019年度本年收入741.58万元，其中：财政拨款收入718.38万元，占96.87%；上级补助收入0万元，占0%；事业收入0万元，占0%；经营收入0万元，占0%；附属单位上缴收入0万元，占0%；其他收入23.20万元，占3.13%。</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2019年度本年支出756.33万元，其中：基本支出597.83万元，占79.04%；项目支出158.50万元，占20.96%；上缴上级支出0万元，占0%；经营支出0万元，占0%；对附属单位补助支出0万元，占0%。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718.38万元，与上年相比，增加93.88万元，增长15.03%，主要原因是：2019年新增基层司法业务项目经费。财政拨款支出723.22万元，与上年相比，增加77.54万元，增长12.01%，主要原因是：2019年新增基层司法业务项目经费。</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534.17万元，决算数718.38万元，预决算差异率34.49%，主要原因是：在职人员调资、新增三人、2019年新增基层司法业务项目经费。财政拨款支出年初预算数534.17万元，决算数723.22万元，预决算差异率35.39%，主要原因是：在职人员调资、新增三人、2019年新增基层司法业务项目经费。</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2019年度一般公共预算财政拨款支出723.22万元。按功能分类科目项级科目公开，其中：</w:t>
      </w:r>
    </w:p>
    <w:p>
      <w:pPr>
        <w:ind w:firstLine="480"/>
        <w:jc w:val="both"/>
      </w:pPr>
      <w:r>
        <w:rPr>
          <w:rFonts w:ascii="仿宋_GB2312" w:hAnsi="仿宋_GB2312" w:eastAsia="仿宋_GB2312" w:cs="仿宋_GB2312"/>
          <w:b w:val="0"/>
          <w:sz w:val="32"/>
        </w:rPr>
        <w:t xml:space="preserve">   2040601行政运行支出461.27万元；</w:t>
      </w:r>
    </w:p>
    <w:p>
      <w:pPr>
        <w:ind w:firstLine="480"/>
        <w:jc w:val="both"/>
      </w:pPr>
      <w:r>
        <w:rPr>
          <w:rFonts w:ascii="仿宋_GB2312" w:hAnsi="仿宋_GB2312" w:eastAsia="仿宋_GB2312" w:cs="仿宋_GB2312"/>
          <w:b w:val="0"/>
          <w:sz w:val="32"/>
        </w:rPr>
        <w:t xml:space="preserve">   2040604基层司法业务支出60.54万元；</w:t>
      </w:r>
    </w:p>
    <w:p>
      <w:pPr>
        <w:ind w:firstLine="480"/>
        <w:jc w:val="both"/>
      </w:pPr>
      <w:r>
        <w:rPr>
          <w:rFonts w:ascii="仿宋_GB2312" w:hAnsi="仿宋_GB2312" w:eastAsia="仿宋_GB2312" w:cs="仿宋_GB2312"/>
          <w:b w:val="0"/>
          <w:sz w:val="32"/>
        </w:rPr>
        <w:t xml:space="preserve">   2040607法律援助支出11.84万元；</w:t>
      </w:r>
    </w:p>
    <w:p>
      <w:pPr>
        <w:ind w:firstLine="480"/>
        <w:jc w:val="both"/>
      </w:pPr>
      <w:r>
        <w:rPr>
          <w:rFonts w:ascii="仿宋_GB2312" w:hAnsi="仿宋_GB2312" w:eastAsia="仿宋_GB2312" w:cs="仿宋_GB2312"/>
          <w:b w:val="0"/>
          <w:sz w:val="32"/>
        </w:rPr>
        <w:t xml:space="preserve">   2040650事业运行支出7.41万元；</w:t>
      </w:r>
    </w:p>
    <w:p>
      <w:pPr>
        <w:ind w:firstLine="480"/>
        <w:jc w:val="both"/>
      </w:pPr>
      <w:r>
        <w:rPr>
          <w:rFonts w:ascii="仿宋_GB2312" w:hAnsi="仿宋_GB2312" w:eastAsia="仿宋_GB2312" w:cs="仿宋_GB2312"/>
          <w:b w:val="0"/>
          <w:sz w:val="32"/>
        </w:rPr>
        <w:t xml:space="preserve">   2040699其他司法支出86.11万元；</w:t>
      </w:r>
    </w:p>
    <w:p>
      <w:pPr>
        <w:ind w:firstLine="480"/>
        <w:jc w:val="both"/>
      </w:pPr>
      <w:r>
        <w:rPr>
          <w:rFonts w:ascii="仿宋_GB2312" w:hAnsi="仿宋_GB2312" w:eastAsia="仿宋_GB2312" w:cs="仿宋_GB2312"/>
          <w:b w:val="0"/>
          <w:sz w:val="32"/>
        </w:rPr>
        <w:t xml:space="preserve">   2080505机关事业单位基本养老保险缴费支出52.05万元；</w:t>
      </w:r>
    </w:p>
    <w:p>
      <w:pPr>
        <w:ind w:firstLine="480"/>
        <w:jc w:val="both"/>
      </w:pPr>
      <w:r>
        <w:rPr>
          <w:rFonts w:ascii="仿宋_GB2312" w:hAnsi="仿宋_GB2312" w:eastAsia="仿宋_GB2312" w:cs="仿宋_GB2312"/>
          <w:b w:val="0"/>
          <w:sz w:val="32"/>
        </w:rPr>
        <w:t xml:space="preserve">   2210201住房公积金支出44.01万元。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2019年度一般公共预算财政拨款基本支出564.73万元，其中：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人员经费542.82万元，包括：基本工资、津贴补贴、机关事业单位基本养老保险缴费、职工基本医疗保险缴费、公务员医疗补助缴费、其他社会保障缴费、住房公积金、退休费、生活补助、奖励金。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公用经费21.91万元，包括：办公费、印刷费、水费、电费、邮电费、取暖费、差旅费、维修（护）费、劳务费、公务用车运行维护费。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35.35万元，比上年增加1.13万元，增长3.3%，主要原因是必接必送经费，刑满释放人员接送经费支出增加。其中，因公出国（境）费支出0万元，占0%，比上年增加0万元，增长0%，主要原因是无因公出国费；公务用车购置及运行维护费支出35.35万元，占100%，比上年增加1.13万元，增长3.3%，主要原因是必接必送经费，刑满释放人员接送经费支出增加；公务接待费支出0万元，占0%，比上年增加0万元，增长0%，主要原因是无公务接待费。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因公出国（境）费支出0万元，开支内容包括：无因公出国费。单位全年安排的因公出国（境）团组0个，因公出国（境）0人次。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35.35万元，其中，公务用车购置费0万元，公务用车运行维护费35.35万元。公务用车运行维护费开支内容包括必接必送经费，刑满释放人员接送经费支出增加。公务用车购置数0辆，公务用车保有量14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公务接待费0万元，开支内容包括无公务接待费。单位全年安排的国内公务接待0批次，0人次。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35.35万元，决算数35.35万元，预决算差异率0%，主要原因是：无差异。其中：因公出国（境）费预算数0万元，决算数0万元，预决算差异率0%，主要原因是：无差异；公务用车购置费预算数0万元，决算数0万元，预决算差异率0%，主要原因是：无差异；公务用车运行费预算数35.35万元，决算数35.35万元，预决算差异率0%，主要原因是：无差异；公务接待费预算数0万元，决算数0万元，预决算差异率0%，主要原因是：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2019年度新疆喀什地区泽普县司法局机关运行经费支出21.91万元，比上年减少8.64万元，降低28.28%，主要原因是严格执行八项规定，压缩“三公”经费。</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2019年度政府采购支出总额35.81万元，其中：政府采购货物支出34.01万元、政府采购工程支出0万元、政府采购服务支出1.80万元。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授予中小企业合同金额35.81万元，占政府采购支出总额的100%，其中：授予小微企业合同金额35.81万元，占政府采购支出总额的100%。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3,685.60（平方米），价值446.12万元。车辆14辆，价值172.46万元，其中：副部（省）级及以上领导用车0辆、主要领导干部用车0辆、机要通信用车0辆、应急保障用车0辆、执法执勤用车0辆、特种专业技术用车0辆、离退休干部用车0辆、其他用车14辆，其他用车主要是：司法局局机关、司法所业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4个，共涉及资金158.49万元。预算绩效管理取得的成效：办案质量进一步提高，办理的案件及工作经验具有一定区域的良好影响，取得了好的社会效果，积极维护社会和谐，营造良好的社会环境，为我县社会和谐和长治久安、经济建设提供优质高效的法律服务和有效的司法保障。办公档案设备的投入使用改善了局机关和司法所办公条件，提升了工作效率，尤其是电子保密柜的投入使用，极大的提升了保密安全系数，确保了单位内部保密安全。通过使用法律援助经费，有效地维护了社会弱势群体的合法权益， 缓解了弱势群体打官司难的问题，广干部群众法律意识提高了，依法办事、遵纪守法的社会风气进一步形成，使广大人民群众感受到了党和政府的政策，密切了党群关系，集体上访、越级上访、无理缠访等事件大幅度下降，社会和谐、治安良好。发现的问题及原因：绩效目标管理有待加强，虽然开展了绩效管理，但是绩效目标内容不完整。支出进度有待加快。按照项目要求，加快资金支出进度，提高财政资金使用效益。下一步改进措施：进一步加强预算绩效管理，围绕绩效目标开展跟踪监控，确保预算资金在正常轨道上运行。加强财务核算。规范资金审批程序，加快资金支出进度，确保资金使用规范。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uGWAqxIQ0lGyEHkHsEnPXQb3QUQ=" w:salt="nu5zDiop5dTcJO86+skUi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887021F"/>
    <w:rsid w:val="1DAF458D"/>
    <w:rsid w:val="2A053397"/>
    <w:rsid w:val="2D1136DF"/>
    <w:rsid w:val="31C63837"/>
    <w:rsid w:val="3D5275AC"/>
    <w:rsid w:val="46901EEE"/>
    <w:rsid w:val="469C74D2"/>
    <w:rsid w:val="474061C9"/>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10</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2021-06-08T08:24:18Z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