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新疆喀什地区泽普县委政法委员会2019年度部门决算公开说明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贯彻中央和上级社会管理综合治理委员会的工作指示 ，研究、拟定本辖区的工作计划、阶段性工作方案和措施，提交县综治委讨论决定，并负责组织实施。掌握、分析辖区内的治安形势和工作状态，及时反馈信息，组织协调有关部门共同解决突出的治安问题 ，重大问题请示县委、县人民政府作决定。指导、检查、督促各乡镇和单位开展综治工作。加强基层群防群治网络建设。开展社会管理综合治理创新、达标活动。内设综合治理办公室等。机构设置及人员情况：泽普县政法委（本级）单位无下属预算单位，下设4个处室，分别是：办公室、信息化办公室、社会面防控办公室、执法监督办公室。</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新疆喀什地区泽普县委政法委员会2019年度，实有人数0人，其中：在职人员</w:t>
      </w:r>
      <w:r>
        <w:rPr>
          <w:rFonts w:hint="eastAsia" w:ascii="仿宋_GB2312" w:hAnsi="仿宋_GB2312" w:eastAsia="仿宋_GB2312" w:cs="仿宋_GB2312"/>
          <w:sz w:val="32"/>
          <w:lang w:val="en-US" w:eastAsia="zh-CN"/>
        </w:rPr>
        <w:t>0</w:t>
      </w:r>
      <w:r>
        <w:rPr>
          <w:rFonts w:ascii="仿宋_GB2312" w:hAnsi="仿宋_GB2312" w:eastAsia="仿宋_GB2312" w:cs="仿宋_GB2312"/>
          <w:sz w:val="32"/>
        </w:rPr>
        <w:t>人，离休人员0人，退休人员0，因人员涉密，不予公开。</w:t>
      </w:r>
      <w:bookmarkStart w:id="54" w:name="_GoBack"/>
      <w:bookmarkEnd w:id="54"/>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从部门决算单位构成看，新疆喀什地区泽普县委政法委员会部门决算包括：新疆喀什地区泽普县委政法委员会决算。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3,085.59万元，与上年相比，减少1,790.82万元，下降36.72%，主要原因是：2019年县级配套资金减少。本年支出5,098.80万元，与上年相比，增加556.85万元，增长12.26%，主要原因是：上年结余项目本年支出。</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2019年度本年收入3,085.59万元，其中：财政拨款收入3,083.01万元，占99.92%；上级补助收入0万元，占0%；事业收入0万元，占0%；经营收入0万元，占0%；附属单位上缴收入0万元，占0%；其他收入2.58万元，占0.08%。</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2019年度本年支出5,098.80万元，其中：基本支出2,552.39万元，占50.06%；项目支出2,546.41万元，占49.94%；上缴上级支出0万元，占0%；经营支出0万元，占0%；对附属单位补助支出0万元，占0%。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3,083.01万元，与上年相比，减少1,792.28万元，下降36.76%，主要原因是：2019年县级配套资金减少，县财政其他供养人员部分转出。财政拨款支出4,625.66万元，与上年相比，增加1,112.92万元，增长31.68%，主要原因是：上年结余项目本年支出。</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985.67万元，决算数3,083.01万元，预决算差异率212.78%，主要原因是：县财政其他供养人员增加。财政拨款支出年初预算数985.67万元，决算数4,625.66万元，预决算差异率369.29%，主要原因是：上年结余项目本年支出，县财政其他供养人员增加。</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2019年度一般公共预算财政拨款支出4,625.66万元。按功能分类科目项级科目公开，其中：</w:t>
      </w:r>
    </w:p>
    <w:p>
      <w:pPr>
        <w:ind w:firstLine="480"/>
        <w:jc w:val="both"/>
      </w:pPr>
      <w:r>
        <w:rPr>
          <w:rFonts w:ascii="仿宋_GB2312" w:hAnsi="仿宋_GB2312" w:eastAsia="仿宋_GB2312" w:cs="仿宋_GB2312"/>
          <w:b w:val="0"/>
          <w:sz w:val="32"/>
        </w:rPr>
        <w:t xml:space="preserve">   2013199其他党委办公厅（室）及相关机构事务支出28.10万元；</w:t>
      </w:r>
    </w:p>
    <w:p>
      <w:pPr>
        <w:ind w:firstLine="480"/>
        <w:jc w:val="both"/>
      </w:pPr>
      <w:r>
        <w:rPr>
          <w:rFonts w:ascii="仿宋_GB2312" w:hAnsi="仿宋_GB2312" w:eastAsia="仿宋_GB2312" w:cs="仿宋_GB2312"/>
          <w:b w:val="0"/>
          <w:sz w:val="32"/>
        </w:rPr>
        <w:t xml:space="preserve">   2013299其他组织事务支出379.21万元；</w:t>
      </w:r>
    </w:p>
    <w:p>
      <w:pPr>
        <w:ind w:firstLine="480"/>
        <w:jc w:val="both"/>
      </w:pPr>
      <w:r>
        <w:rPr>
          <w:rFonts w:ascii="仿宋_GB2312" w:hAnsi="仿宋_GB2312" w:eastAsia="仿宋_GB2312" w:cs="仿宋_GB2312"/>
          <w:b w:val="0"/>
          <w:sz w:val="32"/>
        </w:rPr>
        <w:t xml:space="preserve">   2013601行政运行支出151.87万元；</w:t>
      </w:r>
    </w:p>
    <w:p>
      <w:pPr>
        <w:ind w:firstLine="480"/>
        <w:jc w:val="both"/>
      </w:pPr>
      <w:r>
        <w:rPr>
          <w:rFonts w:ascii="仿宋_GB2312" w:hAnsi="仿宋_GB2312" w:eastAsia="仿宋_GB2312" w:cs="仿宋_GB2312"/>
          <w:b w:val="0"/>
          <w:sz w:val="32"/>
        </w:rPr>
        <w:t xml:space="preserve">   2013699其他共产党事务支出0.10万元；</w:t>
      </w:r>
    </w:p>
    <w:p>
      <w:pPr>
        <w:ind w:firstLine="480"/>
        <w:jc w:val="both"/>
      </w:pPr>
      <w:r>
        <w:rPr>
          <w:rFonts w:ascii="仿宋_GB2312" w:hAnsi="仿宋_GB2312" w:eastAsia="仿宋_GB2312" w:cs="仿宋_GB2312"/>
          <w:b w:val="0"/>
          <w:sz w:val="32"/>
        </w:rPr>
        <w:t xml:space="preserve">   2040219信息化建设支出89.55万元；</w:t>
      </w:r>
    </w:p>
    <w:p>
      <w:pPr>
        <w:ind w:firstLine="480"/>
        <w:jc w:val="both"/>
      </w:pPr>
      <w:r>
        <w:rPr>
          <w:rFonts w:ascii="仿宋_GB2312" w:hAnsi="仿宋_GB2312" w:eastAsia="仿宋_GB2312" w:cs="仿宋_GB2312"/>
          <w:b w:val="0"/>
          <w:sz w:val="32"/>
        </w:rPr>
        <w:t xml:space="preserve">   2049901其他公共安全支出3,945.40万元；</w:t>
      </w:r>
    </w:p>
    <w:p>
      <w:pPr>
        <w:ind w:firstLine="480"/>
        <w:jc w:val="both"/>
      </w:pPr>
      <w:r>
        <w:rPr>
          <w:rFonts w:ascii="仿宋_GB2312" w:hAnsi="仿宋_GB2312" w:eastAsia="仿宋_GB2312" w:cs="仿宋_GB2312"/>
          <w:b w:val="0"/>
          <w:sz w:val="32"/>
        </w:rPr>
        <w:t xml:space="preserve">   2080505机关事业单位基本养老保险缴费支出18.13万元；</w:t>
      </w:r>
    </w:p>
    <w:p>
      <w:pPr>
        <w:ind w:firstLine="480"/>
        <w:jc w:val="both"/>
      </w:pPr>
      <w:r>
        <w:rPr>
          <w:rFonts w:ascii="仿宋_GB2312" w:hAnsi="仿宋_GB2312" w:eastAsia="仿宋_GB2312" w:cs="仿宋_GB2312"/>
          <w:b w:val="0"/>
          <w:sz w:val="32"/>
        </w:rPr>
        <w:t xml:space="preserve">   2210201住房公积金支出13.31万元。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2019年度一般公共预算财政拨款基本支出2,550.09万元，其中：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人员经费2,533.71万元，包括：基本工资、津贴补贴、机关事业单位基本养老保险缴费、职工基本医疗保险缴费、公务员医疗补助缴费、其他社会保障缴费、住房公积金、其他工资福利支出、退休费、奖励金。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公用经费16.39万元，包括：办公费、手续费、邮电费、差旅费、公务接待费、其他交通费用。</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11.40万元，比上年增加11.40万元，增长100%，主要原因是实际使用车辆增加，2019年扫黑除恶督导组增加。其中，因公出国（境）费支出0万元，占0%，比上年增加0万元，增长0%，主要原因是本单位无此类项目发生；公务用车购置及运行维护费支出0万元，占0%，比上年增加0万元，增长0%，主要原因是本单位无此类项目发生；公务接待费支出11.40万元，占100%，比上年增加11.40万元，增长100%，主要原因是2019年扫黑除恶督导组增加。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因公出国（境）费支出0万元，开支内容包括：本单位无此类项目发生。单位全年安排的因公出国（境）团组0个，因公出国（境）0人次。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公务用车购置及运行维护费0万元，其中，公务用车购置费0万元，公务用车运行维护费0万元。公务用车运行维护费开支内容包括本单位无此类项目发生。公务用车购置数0辆，公务用车保有量0辆。</w:t>
      </w:r>
    </w:p>
    <w:p>
      <w:pPr>
        <w:ind w:firstLine="640" w:firstLineChars="200"/>
        <w:rPr>
          <w:rFonts w:ascii="仿宋_GB2312" w:eastAsia="仿宋_GB2312"/>
          <w:sz w:val="32"/>
          <w:szCs w:val="32"/>
        </w:rPr>
      </w:pPr>
      <w:r>
        <w:rPr>
          <w:rFonts w:ascii="仿宋_GB2312" w:hAnsi="仿宋_GB2312" w:eastAsia="仿宋_GB2312" w:cs="仿宋_GB2312"/>
          <w:sz w:val="32"/>
        </w:rPr>
        <w:t>公务接待费11.40万元，开支内容包括国内公务接待支出11.4万元。单位全年安排的国内公务接待28批次，620人次。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11.40万元，决算数11.40万元，预决算差异率0%，主要原因是：无差异。其中：因公出国（境）费预算数0万元，决算数0万元，预决算差异率0%，主要原因是：无差异；公务用车购置费预算数0万元，决算数0万元，预决算差异率0%，主要原因是：无差异；公务用车运行费预算数0万元，决算数0万元，预决算差异率0%，主要原因是：无差异；公务接待费预算数11.40万元，决算数11.40万元，预决算差异率0%，主要原因是：无差异。</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2019年度新疆喀什地区泽普县委政法委员会机关运行经费支出16.39万元，比上年增加9.59万元，增长141.03%，主要原因是实际使用车辆增加。</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2019年度政府采购支出总额46.40万元，其中：政府采购货物支出44.67万元、政府采购工程支出0万元、政府采购服务支出1.73万元。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授予中小企业合同金额46.40万元，占政府采购支出总额的100%，其中：授予小微企业合同金额46.40万元，占政府采购支出总额的100%。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无其他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hint="eastAsia" w:ascii="仿宋_GB2312" w:eastAsia="仿宋_GB2312"/>
          <w:sz w:val="32"/>
          <w:szCs w:val="32"/>
          <w:lang w:val="en-US" w:eastAsia="zh-CN"/>
        </w:rPr>
      </w:pPr>
      <w:r>
        <w:rPr>
          <w:rFonts w:ascii="仿宋_GB2312" w:hAnsi="仿宋_GB2312" w:eastAsia="仿宋_GB2312" w:cs="仿宋_GB2312"/>
          <w:sz w:val="32"/>
        </w:rPr>
        <w:t>根据预算绩效管理要求，我单位2019年度开展预算绩效评价项目11个，共涉及资金2546.4万元。预算绩效管理取得的成效：面对当前 “三期叠加” 的形式，按照“力量不削弱、主体不改变、管理不放松”的原则，进一步整合现有力量，建立专群结合、群防群治的队伍，树立工作底线思维，增强忧患意识，创新和改进安保队伍管理，发挥好在维护社会中的作用。完成充分发挥各地流管站职能，确保各地流管站各项工作有序推进，确保流动人口管得住、控得好。立创平安泽普、和谐泽普和民族团结先进县城。发现的问题及原因：无。下一步改进措施：无。</w:t>
      </w:r>
      <w:r>
        <w:rPr>
          <w:rFonts w:hint="eastAsia" w:ascii="仿宋_GB2312" w:hAnsi="仿宋_GB2312" w:eastAsia="仿宋_GB2312" w:cs="仿宋_GB2312"/>
          <w:sz w:val="32"/>
          <w:lang w:eastAsia="zh-CN"/>
        </w:rPr>
        <w:t>因本单位项目涉密，不予公开。</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1" w:cryptProviderType="rsaFull" w:cryptAlgorithmClass="hash" w:cryptAlgorithmType="typeAny" w:cryptAlgorithmSid="4" w:cryptSpinCount="0" w:hash="pRymqKsohHY4Pp+hze9NqWa3x+A=" w:salt="PhC2rU/16xuWNypbxHONt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5181833"/>
    <w:rsid w:val="3D5275AC"/>
    <w:rsid w:val="46901EEE"/>
    <w:rsid w:val="469C74D2"/>
    <w:rsid w:val="4A146F04"/>
    <w:rsid w:val="4C996EFA"/>
    <w:rsid w:val="4ECA3FE4"/>
    <w:rsid w:val="50DB5F45"/>
    <w:rsid w:val="51841B7D"/>
    <w:rsid w:val="56912ADE"/>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12</TotalTime>
  <ScaleCrop>false</ScaleCrop>
  <LinksUpToDate>false</LinksUpToDate>
  <CharactersWithSpaces>6899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cp:lastModifiedBy>
  <dcterms:modified xsi:type="dcterms:W3CDTF">2021-06-08T05:31:29Z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