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新疆喀什地区泽普县财政局2019年度部门决算公开说明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一）根据全县国民经济和社会发展计划及财政预算安排，负责提出全县税收收入计划；分析预测经济形势，参与制定各项经济政策，提出运用财税政策实施经济调控和综合平衡社会财力的建议；牵头组织实施全县财源建设工作。</w:t>
      </w:r>
    </w:p>
    <w:p>
      <w:pPr>
        <w:ind w:firstLine="480"/>
        <w:jc w:val="both"/>
      </w:pPr>
      <w:r>
        <w:rPr>
          <w:rFonts w:ascii="仿宋_GB2312" w:hAnsi="仿宋_GB2312" w:cs="仿宋_GB2312" w:eastAsia="仿宋_GB2312"/>
          <w:b w:val="false"/>
          <w:sz w:val="32"/>
        </w:rPr>
        <w:t>（二）承担本县各项财政收支管理责任。负责编制本县预、决算草案并组织实施；受县人民政府委托向县本级人大常委会报告全县年度预算及其执行情况，向县本级人大常委会报告决算；组织制定经费开支标准、定额，负责审核、批复部门（单位）的年度预、决算；组织实施财政支出绩效评价工作。</w:t>
      </w:r>
    </w:p>
    <w:p>
      <w:pPr>
        <w:ind w:firstLine="480"/>
        <w:jc w:val="both"/>
      </w:pPr>
      <w:r>
        <w:rPr>
          <w:rFonts w:ascii="仿宋_GB2312" w:hAnsi="仿宋_GB2312" w:cs="仿宋_GB2312" w:eastAsia="仿宋_GB2312"/>
          <w:b w:val="false"/>
          <w:sz w:val="32"/>
        </w:rPr>
        <w:t>（三）负责政府非税收入和政府性基金管理；监管财政票据；按规定管理彩票资金。　　</w:t>
      </w:r>
    </w:p>
    <w:p>
      <w:pPr>
        <w:ind w:firstLine="480"/>
        <w:jc w:val="both"/>
      </w:pPr>
      <w:r>
        <w:rPr>
          <w:rFonts w:ascii="仿宋_GB2312" w:hAnsi="仿宋_GB2312" w:cs="仿宋_GB2312" w:eastAsia="仿宋_GB2312"/>
          <w:b w:val="false"/>
          <w:sz w:val="32"/>
        </w:rPr>
        <w:t>（四）负责组织制定本县国库管理制度、国库集中收付制度，负责全县国库管理工作；负责拟订政府采购制度并监督管理；管理本县财政统发工资。</w:t>
      </w:r>
    </w:p>
    <w:p>
      <w:pPr>
        <w:ind w:firstLine="480"/>
        <w:jc w:val="both"/>
      </w:pPr>
      <w:r>
        <w:rPr>
          <w:rFonts w:ascii="仿宋_GB2312" w:hAnsi="仿宋_GB2312" w:cs="仿宋_GB2312" w:eastAsia="仿宋_GB2312"/>
          <w:b w:val="false"/>
          <w:sz w:val="32"/>
        </w:rPr>
        <w:t>（五）拟定和执行地方政府性债务管理制度和办法，按规定开展地方政府债券管理工作，防范财政风险；负责管理政府外债，组织实施外国政府、国际金融组织贷款项目和审核、申报、转贷、签订贷款协定以及资金管理工作。</w:t>
      </w:r>
    </w:p>
    <w:p>
      <w:pPr>
        <w:ind w:firstLine="480"/>
        <w:jc w:val="both"/>
      </w:pPr>
      <w:r>
        <w:rPr>
          <w:rFonts w:ascii="仿宋_GB2312" w:hAnsi="仿宋_GB2312" w:cs="仿宋_GB2312" w:eastAsia="仿宋_GB2312"/>
          <w:b w:val="false"/>
          <w:sz w:val="32"/>
        </w:rPr>
        <w:t xml:space="preserve">（六）拟定全县建设投资的有关政策，执行中央、自治区基本建设财务管理制度，负责中央和自治区政府性投资项目财政资金管理工作；承担有关政策性补贴和专项储备资金财政管理工作；管理各项财政扶贫资金。 </w:t>
      </w:r>
    </w:p>
    <w:p>
      <w:pPr>
        <w:ind w:firstLine="480"/>
        <w:jc w:val="both"/>
      </w:pPr>
      <w:r>
        <w:rPr>
          <w:rFonts w:ascii="仿宋_GB2312" w:hAnsi="仿宋_GB2312" w:cs="仿宋_GB2312" w:eastAsia="仿宋_GB2312"/>
          <w:b w:val="false"/>
          <w:sz w:val="32"/>
        </w:rPr>
        <w:t>（七）贯彻执行国家行政事业单位国有资产管理法规、制度和方针政策，制定我县行政事业单位国有资产管理政策制度并组织实施，按规定管理行政事业单位国有资产，履行行政事业单位国有资产购置、使用、处置监督审核职责；牵头编制我县国有资产管理情况报告，执行全地区统一规定的开支标准和支出政策。</w:t>
      </w:r>
    </w:p>
    <w:p>
      <w:pPr>
        <w:ind w:firstLine="480"/>
        <w:jc w:val="both"/>
      </w:pPr>
      <w:r>
        <w:rPr>
          <w:rFonts w:ascii="仿宋_GB2312" w:hAnsi="仿宋_GB2312" w:cs="仿宋_GB2312" w:eastAsia="仿宋_GB2312"/>
          <w:b w:val="false"/>
          <w:sz w:val="32"/>
        </w:rPr>
        <w:t xml:space="preserve">（八）会同全县有关部门管理中央、自治区及地区财政社会保障和就业及医疗卫生资金，按上级相关文件执行全县社会保障资金（基金）政策和有关的财务管理制度，编制全县社会保障预决算草案。 </w:t>
      </w:r>
    </w:p>
    <w:p>
      <w:pPr>
        <w:ind w:firstLine="480"/>
        <w:jc w:val="both"/>
      </w:pPr>
      <w:r>
        <w:rPr>
          <w:rFonts w:ascii="仿宋_GB2312" w:hAnsi="仿宋_GB2312" w:cs="仿宋_GB2312" w:eastAsia="仿宋_GB2312"/>
          <w:b w:val="false"/>
          <w:sz w:val="32"/>
        </w:rPr>
        <w:t>（九）负责审核和汇总编制全县国有资本经营预决算草案，制定国有资本经营预算制度和办法，收取县本县企业国有资本收益；组织实施企业财务制度，参与拟订企业国有资产管理相关制度。</w:t>
      </w:r>
    </w:p>
    <w:p>
      <w:pPr>
        <w:ind w:firstLine="480"/>
        <w:jc w:val="both"/>
      </w:pPr>
      <w:r>
        <w:rPr>
          <w:rFonts w:ascii="仿宋_GB2312" w:hAnsi="仿宋_GB2312" w:cs="仿宋_GB2312" w:eastAsia="仿宋_GB2312"/>
          <w:b w:val="false"/>
          <w:sz w:val="32"/>
        </w:rPr>
        <w:t>（十）管理和指导全县会计工作，规范会计行为；组织执行国家统一的会计制度，制定补充规定并贯彻执行；组织管理会计人员的业务培训。</w:t>
      </w:r>
    </w:p>
    <w:p>
      <w:pPr>
        <w:ind w:firstLine="480"/>
        <w:jc w:val="both"/>
      </w:pPr>
      <w:r>
        <w:rPr>
          <w:rFonts w:ascii="仿宋_GB2312" w:hAnsi="仿宋_GB2312" w:cs="仿宋_GB2312" w:eastAsia="仿宋_GB2312"/>
          <w:b w:val="false"/>
          <w:sz w:val="32"/>
        </w:rPr>
        <w:t xml:space="preserve">（十一）监督检查财税法规、政策的执行情况，反映财政收支管理中的重大问题，提出加强财政管理的政策建议；贯彻落实财政绩效管理相关政策制度，组织指导全县部门（单位）预算绩效管理工作；组织实施专项资金绩效考核工作；研究建立财政支出绩效评价制度和评价体系并组织实施；负责全县财政系统信息化建设规划并组织实施。 </w:t>
      </w:r>
    </w:p>
    <w:p>
      <w:pPr>
        <w:ind w:firstLine="480"/>
        <w:jc w:val="both"/>
      </w:pPr>
      <w:r>
        <w:rPr>
          <w:rFonts w:ascii="仿宋_GB2312" w:hAnsi="仿宋_GB2312" w:cs="仿宋_GB2312" w:eastAsia="仿宋_GB2312"/>
          <w:b w:val="false"/>
          <w:sz w:val="32"/>
        </w:rPr>
        <w:t>（十二）负责我县地方金融监督管理相关工作。研究分析金融运行情况；牵头组织防范化解地方金融风险；承担地方金融企业国有资产和财务监管工作。</w:t>
      </w:r>
    </w:p>
    <w:p>
      <w:pPr>
        <w:ind w:firstLine="480"/>
        <w:jc w:val="both"/>
      </w:pPr>
      <w:r>
        <w:rPr>
          <w:rFonts w:ascii="仿宋_GB2312" w:hAnsi="仿宋_GB2312" w:cs="仿宋_GB2312" w:eastAsia="仿宋_GB2312"/>
          <w:b w:val="false"/>
          <w:sz w:val="32"/>
        </w:rPr>
        <w:t>（十三）完成县委、县政府交办的其他事项。</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新疆喀什地区泽普县财政局2019年度，实有人数91人，其中：在职人员72人，离休人员0人，退休人员19人。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从部门决算单位构成看，新疆喀什地区泽普县财政局部门决算包括：新疆喀什地区泽普县财政局决算。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1,733.05万元，与上年相比，增加601.64万元，增长53.18%，主要原因是：扶贫贷款风险补偿金、扶贫项目管理费增加。本年支出1,333.05万元，与上年相比，增加201.64万元，增长17.82%，主要原因是：扶贫贷款风险补偿金、扶贫项目管理费增加。</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2019年度本年收入1,733.05万元，其中：财政拨款收入1,733.05万元，占100%；上级补助收入0万元，占0%；事业收入0万元，占0%；经营收入0万元，占0%；附属单位上缴收入0万元，占0%；其他收入0万元，占0%。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2019年度本年支出1,333.05万元，其中：基本支出1,016.49万元，占76.25%；项目支出316.56万元，占23.75%；上缴上级支出0万元，占0%；经营支出0万元，占0%；对附属单位补助支出0万元，占0%。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1,733.05万元，与上年相比，增加601.64万元，增长53.18%，主要原因是：扶贫贷款风险补偿金、扶贫项目管理费增加。财政拨款支出1,333.05万元，与上年相比，增加201.64万元，增长17.82%，主要原因是：扶贫贷款风险补偿金、扶贫项目管理费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1,096.72万元，决算数1,733.05万元，预决算差异率58.02%，主要原因是：扶贫贷款风险补偿金、扶贫项目管理费增加。财政拨款支出年初预算数1,096.72万元，决算数1,333.05万元，预决算差异率21.55%，主要原因是：扶贫贷款风险补偿金、扶贫项目管理费增加。</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2019年度一般公共预算财政拨款支出1,333.05万元。按功能分类科目项级科目公开，其中：</w:t>
      </w:r>
    </w:p>
    <w:p>
      <w:pPr>
        <w:ind w:firstLine="480"/>
        <w:jc w:val="both"/>
      </w:pPr>
      <w:r>
        <w:rPr>
          <w:rFonts w:ascii="仿宋_GB2312" w:hAnsi="仿宋_GB2312" w:cs="仿宋_GB2312" w:eastAsia="仿宋_GB2312"/>
          <w:b w:val="false"/>
          <w:sz w:val="32"/>
        </w:rPr>
        <w:t xml:space="preserve">   2010601行政运行支出829.79万元；</w:t>
      </w:r>
    </w:p>
    <w:p>
      <w:pPr>
        <w:ind w:firstLine="480"/>
        <w:jc w:val="both"/>
      </w:pPr>
      <w:r>
        <w:rPr>
          <w:rFonts w:ascii="仿宋_GB2312" w:hAnsi="仿宋_GB2312" w:cs="仿宋_GB2312" w:eastAsia="仿宋_GB2312"/>
          <w:b w:val="false"/>
          <w:sz w:val="32"/>
        </w:rPr>
        <w:t xml:space="preserve">   2010607信息化建设支出133.06万元；</w:t>
      </w:r>
    </w:p>
    <w:p>
      <w:pPr>
        <w:ind w:firstLine="480"/>
        <w:jc w:val="both"/>
      </w:pPr>
      <w:r>
        <w:rPr>
          <w:rFonts w:ascii="仿宋_GB2312" w:hAnsi="仿宋_GB2312" w:cs="仿宋_GB2312" w:eastAsia="仿宋_GB2312"/>
          <w:b w:val="false"/>
          <w:sz w:val="32"/>
        </w:rPr>
        <w:t xml:space="preserve">   2010650事业运行支出25.17万元；</w:t>
      </w:r>
    </w:p>
    <w:p>
      <w:pPr>
        <w:ind w:firstLine="480"/>
        <w:jc w:val="both"/>
      </w:pPr>
      <w:r>
        <w:rPr>
          <w:rFonts w:ascii="仿宋_GB2312" w:hAnsi="仿宋_GB2312" w:cs="仿宋_GB2312" w:eastAsia="仿宋_GB2312"/>
          <w:b w:val="false"/>
          <w:sz w:val="32"/>
        </w:rPr>
        <w:t xml:space="preserve">   2010699其他财政事务支出2.50万元；</w:t>
      </w:r>
    </w:p>
    <w:p>
      <w:pPr>
        <w:ind w:firstLine="480"/>
        <w:jc w:val="both"/>
      </w:pPr>
      <w:r>
        <w:rPr>
          <w:rFonts w:ascii="仿宋_GB2312" w:hAnsi="仿宋_GB2312" w:cs="仿宋_GB2312" w:eastAsia="仿宋_GB2312"/>
          <w:b w:val="false"/>
          <w:sz w:val="32"/>
        </w:rPr>
        <w:t xml:space="preserve">   2079999其他文化体育与传媒支出75万元；</w:t>
      </w:r>
    </w:p>
    <w:p>
      <w:pPr>
        <w:ind w:firstLine="480"/>
        <w:jc w:val="both"/>
      </w:pPr>
      <w:r>
        <w:rPr>
          <w:rFonts w:ascii="仿宋_GB2312" w:hAnsi="仿宋_GB2312" w:cs="仿宋_GB2312" w:eastAsia="仿宋_GB2312"/>
          <w:b w:val="false"/>
          <w:sz w:val="32"/>
        </w:rPr>
        <w:t xml:space="preserve">   2080505机关事业单位基本养老保险缴费支出92.61万元；</w:t>
      </w:r>
    </w:p>
    <w:p>
      <w:pPr>
        <w:ind w:firstLine="480"/>
        <w:jc w:val="both"/>
      </w:pPr>
      <w:r>
        <w:rPr>
          <w:rFonts w:ascii="仿宋_GB2312" w:hAnsi="仿宋_GB2312" w:cs="仿宋_GB2312" w:eastAsia="仿宋_GB2312"/>
          <w:b w:val="false"/>
          <w:sz w:val="32"/>
        </w:rPr>
        <w:t xml:space="preserve">   2130505生产发展支出106万元；</w:t>
      </w:r>
    </w:p>
    <w:p>
      <w:pPr>
        <w:ind w:firstLine="480"/>
        <w:jc w:val="both"/>
      </w:pPr>
      <w:r>
        <w:rPr>
          <w:rFonts w:ascii="仿宋_GB2312" w:hAnsi="仿宋_GB2312" w:cs="仿宋_GB2312" w:eastAsia="仿宋_GB2312"/>
          <w:b w:val="false"/>
          <w:sz w:val="32"/>
        </w:rPr>
        <w:t xml:space="preserve">   2130599其他扶贫支出0万元；</w:t>
      </w:r>
    </w:p>
    <w:p>
      <w:pPr>
        <w:ind w:firstLine="480"/>
        <w:jc w:val="both"/>
      </w:pPr>
      <w:r>
        <w:rPr>
          <w:rFonts w:ascii="仿宋_GB2312" w:hAnsi="仿宋_GB2312" w:cs="仿宋_GB2312" w:eastAsia="仿宋_GB2312"/>
          <w:b w:val="false"/>
          <w:sz w:val="32"/>
        </w:rPr>
        <w:t xml:space="preserve">   2210201住房公积金支出68.92万元。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2019年度一般公共预算财政拨款基本支出1,016.49万元，其中：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973.28万元，包括：基本工资、津贴补贴、绩效工资、机关事业单位基本养老保险缴费、职工基本医疗保险缴费、公务员医疗补助缴费、其他社会保障缴费、住房公积金、抚恤金、生活补助、奖励金、其他对个人和家庭的补助。</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公用经费43.21万元，包括：办公费、手续费、水费、电费、邮电费、取暖费、差旅费、公务用车运行维护费。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10.18万元，比上年减少0.15万元，降低1.45%，主要原因是按照八项规定，压减经费支出。其中，因公出国（境）费支出0万元，占0%，比上年增加0万元，增长0%，主要原因是无因公出国费；公务用车购置及运行维护费支出10.18万元，占100%，比上年减少0.15万元，降低1.45%，主要原因是按照八项规定，压减经费支出；公务接待费支出0万元，占0%，比上年增加0万元，增长0%，主要原因是无公务接待费。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因公出国（境）费支出0万元，开支内容包括：无因公出国费。单位全年安排的因公出国（境）团组0个，因公出国（境）0人次。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10.18万元，其中，公务用车购置费0万元，公务用车运行维护费10.18万元。公务用车运行维护费开支内容包括公务用车油料、维修费、车辆保险。公务用车购置数0辆，公务用车保有量3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公务接待费0万元，开支内容包括无公务接待费。单位全年安排的国内公务接待0批次，0人次。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10.18万元，决算数10.18万元，预决算差异率0%，主要原因是：无差异。其中：因公出国（境）费预算数0万元，决算数0万元，预决算差异率0%，主要原因是：无差异；公务用车购置费预算数0万元，决算数0万元，预决算差异率0%，主要原因是：无差异；公务用车运行费预算数10.18万元，决算数10.18万元，预决算差异率0%，主要原因是：无差异；公务接待费预算数0万元，决算数0万元，预决算差异率0%，主要原因是：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2019年度政府性基金预算财政拨款收入18.07万元，与上年相比，增加18.07万元，增长100%，主要原因是：扶贫贷款风险补偿金增加。政府性基金预算支出0万元，与上年相比，增加0万元，增长0%，主要原因是：与上年相比无变化。</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2019年度新疆喀什地区泽普县财政局机关运行经费支出43.21万元，比上年减少51.90万元，降低54.57%，主要原因是按照八项规定，压减经费支出。</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2019年度政府采购支出总额2.23万元，其中：政府采购货物支出2.23万元、政府采购工程支出0万元、政府采购服务支出0万元。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授予中小企业合同金额2.23万元，占政府采购支出总额的100%，其中：授予小微企业合同金额2.23万元，占政府采购支出总额的100%。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2,603.55（平方米），价值297.42万元。车辆3辆，价值54.82万元，其中：副部（省）级及以上领导用车0辆、主要领导干部用车0辆、机要通信用车0辆、应急保障用车0辆、执法执勤用车0辆、特种专业技术用车0辆、离退休干部用车0辆、其他用车3辆，其他用车主要是：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4个，共涉及资金317.1万元。预算绩效管理取得的成效：通过4个项目的实施，一是保障了保证财政业务支撑平台正常运转，大力推进全县财政局域网建设。二是加大乡镇财政干部培训，不断提升乡镇财政干部综合素质和信息化水平，逐步提高乡镇财政工作效率，切实做好乡镇财政的各项各项工作。三是开展全县扶贫项目绩效管理辅导工作，为业务部门和项目负责人提升绩效管理意识，保证资金的合理高效利用。发现的问题及原因：无。下一步改进措施：今后工作中，将继续按照资金使用办法，做到专款专用。同时，认真制定项目资金绩效申报，项目实施过程中严格按照年度绩效申报各项指标值逐项落实，确保项目绩效目标如期完成，发挥资金的使用效益。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3/H8ZmyOGRvSItaVUGIQdg==" w:hash="IFj4yAhEb9+6Qxah4U/1qOMy/50="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