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bookmarkStart w:id="54" w:name="_GoBack"/>
      <w:bookmarkEnd w:id="54"/>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方正小标宋_GBK" w:eastAsia="方正小标宋_GBK" w:cs="方正小标宋_GBK"/>
          <w:sz w:val="44"/>
        </w:rPr>
        <w:t>新疆喀什地区泽普县人民检察院2019年度部门决算公开说明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0" w:name="_Toc24028"/>
      <w:bookmarkStart w:id="1" w:name="_Toc32314"/>
      <w:r>
        <w:rPr>
          <w:rFonts w:hint="eastAsia" w:ascii="黑体" w:hAnsi="黑体" w:eastAsia="黑体"/>
          <w:sz w:val="32"/>
          <w:szCs w:val="32"/>
        </w:rPr>
        <w:t>第一部分 部门单位概况</w:t>
      </w:r>
      <w:bookmarkEnd w:id="0"/>
      <w:bookmarkEnd w:id="1"/>
    </w:p>
    <w:p>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480"/>
        <w:jc w:val="both"/>
      </w:pPr>
      <w:r>
        <w:rPr>
          <w:rFonts w:ascii="仿宋_GB2312" w:hAnsi="仿宋_GB2312" w:eastAsia="仿宋_GB2312" w:cs="仿宋_GB2312"/>
          <w:b w:val="0"/>
          <w:sz w:val="32"/>
        </w:rPr>
        <w:t>泽普县人民检察院属于国家行政机关，与政府和法院并称一府两院，均由同级人民代表大会产生，对其负责并报告工作。检察院通过履行侦查、批准逮捕、审查起诉、支持公诉等法律监督职能，保证国家法律的统一和正确实施。是国家法律监督机关。</w:t>
      </w:r>
    </w:p>
    <w:p>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pPr>
      <w:r>
        <w:rPr>
          <w:rFonts w:ascii="仿宋_GB2312" w:hAnsi="仿宋_GB2312" w:eastAsia="仿宋_GB2312" w:cs="仿宋_GB2312"/>
          <w:sz w:val="32"/>
        </w:rPr>
        <w:t>新疆喀什地区泽普县人民检察院2019年度，实有人数0人，其中：在职人员</w:t>
      </w:r>
      <w:r>
        <w:rPr>
          <w:rFonts w:hint="eastAsia" w:ascii="仿宋_GB2312" w:hAnsi="仿宋_GB2312" w:eastAsia="仿宋_GB2312" w:cs="仿宋_GB2312"/>
          <w:sz w:val="32"/>
          <w:lang w:val="en-US" w:eastAsia="zh-CN"/>
        </w:rPr>
        <w:t>0</w:t>
      </w:r>
      <w:r>
        <w:rPr>
          <w:rFonts w:ascii="仿宋_GB2312" w:hAnsi="仿宋_GB2312" w:eastAsia="仿宋_GB2312" w:cs="仿宋_GB2312"/>
          <w:sz w:val="32"/>
        </w:rPr>
        <w:t>人，离休人员0人，退休人员0，因人员信息涉密，不予公开人。</w:t>
      </w:r>
    </w:p>
    <w:p>
      <w:pPr>
        <w:ind w:firstLine="640" w:firstLineChars="200"/>
        <w:rPr>
          <w:rFonts w:ascii="仿宋_GB2312" w:eastAsia="仿宋_GB2312"/>
          <w:sz w:val="32"/>
          <w:szCs w:val="32"/>
        </w:rPr>
      </w:pPr>
      <w:r>
        <w:rPr>
          <w:rFonts w:ascii="仿宋_GB2312" w:hAnsi="仿宋_GB2312" w:eastAsia="仿宋_GB2312" w:cs="仿宋_GB2312"/>
          <w:sz w:val="32"/>
        </w:rPr>
        <w:t>从部门决算单位构成看，新疆喀什地区泽普县人民检察院部门决算包括：新疆喀什地区泽普县人民检察院决算。</w:t>
      </w:r>
    </w:p>
    <w:p>
      <w:pPr>
        <w:ind w:firstLine="640" w:firstLineChars="200"/>
        <w:jc w:val="center"/>
        <w:outlineLvl w:val="0"/>
        <w:rPr>
          <w:rFonts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ascii="仿宋_GB2312" w:hAnsi="仿宋_GB2312" w:eastAsia="仿宋_GB2312" w:cs="仿宋_GB2312"/>
          <w:sz w:val="32"/>
        </w:rPr>
        <w:t>2019年度本年收入1,085.49万元，与上年相比，增加53.96万元，增长5.23%，主要原因是：上级转移支付资金增加,援疆资金增加。本年支出1,116.80万元，与上年相比，增加53.74万元，增长5.06%，主要原因是：上级转移支付资金增加,援疆资金增加。</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hAnsi="仿宋_GB2312" w:eastAsia="仿宋_GB2312" w:cs="仿宋_GB2312"/>
          <w:sz w:val="32"/>
        </w:rPr>
        <w:t>2019年度本年收入1,085.49万元，其中：财政拨款收入934.21万元，占86.06%；上级补助收入0万元，占0%；事业收入0万元，占0%；经营收入0万元，占0%；附属单位上缴收入0万元，占0%；其他收入151.28万元，占13.94%。</w:t>
      </w:r>
    </w:p>
    <w:p>
      <w:pPr>
        <w:ind w:firstLine="640" w:firstLineChars="200"/>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hAnsi="仿宋_GB2312" w:eastAsia="仿宋_GB2312" w:cs="仿宋_GB2312"/>
          <w:sz w:val="32"/>
        </w:rPr>
        <w:t>2019年度本年支出1,116.80万元，其中：基本支出901.49万元，占80.72%；项目支出215.31万元，占19.28%；上缴上级支出0万元，占0%；经营支出0万元，占0%；对附属单位补助支出0万元，占0%。</w:t>
      </w:r>
    </w:p>
    <w:p>
      <w:pPr>
        <w:ind w:firstLine="640" w:firstLineChars="200"/>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hAnsi="仿宋_GB2312" w:eastAsia="仿宋_GB2312" w:cs="仿宋_GB2312"/>
          <w:sz w:val="32"/>
        </w:rPr>
        <w:t>2019年度财政拨款收入934.21万元，与上年相比，减少64.78万元，下降6.48%，主要原因是：压减公用经费支出，人员转隶，人员减少。财政拨款支出965.52万元，与上年相比，减少64.99万元，下降6.31%，主要原因是：压减公用经费支出，人员转隶，人员减少。</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财政拨款收入年初预算数714.85万元，决算数934.21万元，预决算差异率30.69%，主要原因是：人员调资，上级专项经费到位。财政拨款支出年初预算数714.85万元，决算数965.52万元，预决算差异率35.07%，主要原因是：人员调资，上级专项经费到位。</w:t>
      </w:r>
    </w:p>
    <w:p>
      <w:pPr>
        <w:ind w:firstLine="640" w:firstLineChars="200"/>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2019年度一般公共预算财政拨款支出965.52万元。按功能分类科目项级科目公开，其中：</w:t>
      </w:r>
    </w:p>
    <w:p>
      <w:pPr>
        <w:ind w:firstLine="480"/>
        <w:jc w:val="both"/>
      </w:pPr>
      <w:r>
        <w:rPr>
          <w:rFonts w:ascii="仿宋_GB2312" w:hAnsi="仿宋_GB2312" w:eastAsia="仿宋_GB2312" w:cs="仿宋_GB2312"/>
          <w:b w:val="0"/>
          <w:sz w:val="32"/>
        </w:rPr>
        <w:t xml:space="preserve">   2040401行政运行支出566.59万元；</w:t>
      </w:r>
    </w:p>
    <w:p>
      <w:pPr>
        <w:ind w:firstLine="480"/>
        <w:jc w:val="both"/>
      </w:pPr>
      <w:r>
        <w:rPr>
          <w:rFonts w:ascii="仿宋_GB2312" w:hAnsi="仿宋_GB2312" w:eastAsia="仿宋_GB2312" w:cs="仿宋_GB2312"/>
          <w:b w:val="0"/>
          <w:sz w:val="32"/>
        </w:rPr>
        <w:t xml:space="preserve">   2040499其他检察支出215.31万元；</w:t>
      </w:r>
    </w:p>
    <w:p>
      <w:pPr>
        <w:ind w:firstLine="480"/>
        <w:jc w:val="both"/>
      </w:pPr>
      <w:r>
        <w:rPr>
          <w:rFonts w:ascii="仿宋_GB2312" w:hAnsi="仿宋_GB2312" w:eastAsia="仿宋_GB2312" w:cs="仿宋_GB2312"/>
          <w:b w:val="0"/>
          <w:sz w:val="32"/>
        </w:rPr>
        <w:t xml:space="preserve">   2049901其他公共安全支出66万元；</w:t>
      </w:r>
    </w:p>
    <w:p>
      <w:pPr>
        <w:ind w:firstLine="480"/>
        <w:jc w:val="both"/>
      </w:pPr>
      <w:r>
        <w:rPr>
          <w:rFonts w:ascii="仿宋_GB2312" w:hAnsi="仿宋_GB2312" w:eastAsia="仿宋_GB2312" w:cs="仿宋_GB2312"/>
          <w:b w:val="0"/>
          <w:sz w:val="32"/>
        </w:rPr>
        <w:t xml:space="preserve">   2080505机关事业单位基本养老保险缴费支出65.70万元；</w:t>
      </w:r>
    </w:p>
    <w:p>
      <w:pPr>
        <w:ind w:firstLine="480"/>
        <w:jc w:val="both"/>
      </w:pPr>
      <w:r>
        <w:rPr>
          <w:rFonts w:ascii="仿宋_GB2312" w:hAnsi="仿宋_GB2312" w:eastAsia="仿宋_GB2312" w:cs="仿宋_GB2312"/>
          <w:b w:val="0"/>
          <w:sz w:val="32"/>
        </w:rPr>
        <w:t xml:space="preserve">   2080506机关事业单位职业年金缴费支出3.70万元；</w:t>
      </w:r>
    </w:p>
    <w:p>
      <w:pPr>
        <w:ind w:firstLine="480"/>
        <w:jc w:val="both"/>
      </w:pPr>
      <w:r>
        <w:rPr>
          <w:rFonts w:ascii="仿宋_GB2312" w:hAnsi="仿宋_GB2312" w:eastAsia="仿宋_GB2312" w:cs="仿宋_GB2312"/>
          <w:b w:val="0"/>
          <w:sz w:val="32"/>
        </w:rPr>
        <w:t xml:space="preserve">   2210201住房公积金支出48.22万元。</w:t>
      </w:r>
    </w:p>
    <w:p>
      <w:pPr>
        <w:ind w:firstLine="640" w:firstLineChars="200"/>
        <w:outlineLvl w:val="1"/>
        <w:rPr>
          <w:rFonts w:ascii="黑体" w:hAnsi="黑体" w:eastAsia="黑体" w:cs="宋体"/>
          <w:bCs/>
          <w:kern w:val="0"/>
          <w:sz w:val="32"/>
          <w:szCs w:val="32"/>
        </w:rPr>
      </w:pPr>
      <w:bookmarkStart w:id="18" w:name="_Toc30870"/>
      <w:bookmarkStart w:id="19" w:name="_Toc11146"/>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2019年度一般公共预算财政拨款基本支出750.21万元，其中：</w:t>
      </w:r>
    </w:p>
    <w:p>
      <w:pPr>
        <w:ind w:firstLine="640" w:firstLineChars="200"/>
        <w:rPr>
          <w:rFonts w:ascii="仿宋_GB2312" w:eastAsia="仿宋_GB2312"/>
          <w:sz w:val="32"/>
          <w:szCs w:val="32"/>
        </w:rPr>
      </w:pPr>
      <w:r>
        <w:rPr>
          <w:rFonts w:ascii="仿宋_GB2312" w:hAnsi="仿宋_GB2312" w:eastAsia="仿宋_GB2312" w:cs="仿宋_GB2312"/>
          <w:sz w:val="32"/>
        </w:rPr>
        <w:t>人员经费705.76万元，包括：基本工资、津贴补贴、机关事业单位基本养老保险缴费、职业年金缴费、职工基本医疗保险缴费、公务员医疗补助缴费、其他社会保障缴费、住房公积金、退休费、生活补助、奖励金。</w:t>
      </w:r>
    </w:p>
    <w:p>
      <w:pPr>
        <w:ind w:firstLine="640" w:firstLineChars="200"/>
        <w:rPr>
          <w:rFonts w:ascii="仿宋_GB2312" w:eastAsia="仿宋_GB2312"/>
          <w:sz w:val="32"/>
          <w:szCs w:val="32"/>
        </w:rPr>
      </w:pPr>
      <w:r>
        <w:rPr>
          <w:rFonts w:ascii="仿宋_GB2312" w:hAnsi="仿宋_GB2312" w:eastAsia="仿宋_GB2312" w:cs="仿宋_GB2312"/>
          <w:sz w:val="32"/>
        </w:rPr>
        <w:t>公用经费44.45万元，包括：办公费、水费、电费、取暖费、差旅费、公务用车运行维护费。</w:t>
      </w:r>
    </w:p>
    <w:p>
      <w:pPr>
        <w:ind w:firstLine="640" w:firstLineChars="200"/>
        <w:outlineLvl w:val="1"/>
        <w:rPr>
          <w:rFonts w:ascii="黑体" w:hAnsi="黑体" w:eastAsia="黑体" w:cs="宋体"/>
          <w:bCs/>
          <w:kern w:val="0"/>
          <w:sz w:val="32"/>
          <w:szCs w:val="32"/>
        </w:rPr>
      </w:pPr>
      <w:bookmarkStart w:id="20" w:name="_Toc21518"/>
      <w:bookmarkStart w:id="21" w:name="_Toc7190"/>
      <w:r>
        <w:rPr>
          <w:rFonts w:hint="eastAsia" w:ascii="黑体" w:hAnsi="黑体" w:eastAsia="黑体" w:cs="宋体"/>
          <w:bCs/>
          <w:kern w:val="0"/>
          <w:sz w:val="32"/>
          <w:szCs w:val="32"/>
        </w:rPr>
        <w:t>七、一般公共预算财政拨款“三公”经费支出决算情况说明</w:t>
      </w:r>
      <w:bookmarkEnd w:id="20"/>
      <w:bookmarkEnd w:id="21"/>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三公”经费支出决算20.81万元，比上年减少12.14万元，降低36.84%，主要原因是压减公用经费支出。其中，因公出国（境）费支出0万元，占0%，比上年增加0万元，增长0%，主要原因是无出国（境）人员；公务用车购置及运行维护费支出20.81万元，占100%，比上年减少12.14万元，降低36.84%，主要原因是压减公用经费支出；公务接待费支出0万元，占0%，比上年增加0万元，增长0%，主要原因是压减公务接待，无接待函不予接待。具体情况如下：</w:t>
      </w:r>
    </w:p>
    <w:p>
      <w:pPr>
        <w:ind w:firstLine="640" w:firstLineChars="200"/>
        <w:rPr>
          <w:rFonts w:ascii="仿宋_GB2312" w:eastAsia="仿宋_GB2312"/>
          <w:sz w:val="32"/>
          <w:szCs w:val="32"/>
        </w:rPr>
      </w:pPr>
      <w:r>
        <w:rPr>
          <w:rFonts w:ascii="仿宋_GB2312" w:hAnsi="仿宋_GB2312" w:eastAsia="仿宋_GB2312" w:cs="仿宋_GB2312"/>
          <w:sz w:val="32"/>
        </w:rPr>
        <w:t>因公出国（境）费支出0万元，开支内容包括：无出国（境）人员。单位全年安排的因公出国（境）团组0个，因公出国（境）0人次。</w:t>
      </w:r>
    </w:p>
    <w:p>
      <w:pPr>
        <w:ind w:firstLine="640" w:firstLineChars="200"/>
        <w:rPr>
          <w:rFonts w:ascii="仿宋_GB2312" w:eastAsia="仿宋_GB2312"/>
          <w:sz w:val="32"/>
          <w:szCs w:val="32"/>
        </w:rPr>
      </w:pPr>
      <w:r>
        <w:rPr>
          <w:rFonts w:ascii="仿宋_GB2312" w:hAnsi="仿宋_GB2312" w:eastAsia="仿宋_GB2312" w:cs="仿宋_GB2312"/>
          <w:sz w:val="32"/>
        </w:rPr>
        <w:t>公务用车购置及运行维护费20.81万元，其中，公务用车购置费0万元，公务用车运行维护费20.81万元。公务用车运行维护费开支内容包括车辆维修、加油、保险费。公务用车购置数0辆，公务用车保有量9辆。</w:t>
      </w:r>
    </w:p>
    <w:p>
      <w:pPr>
        <w:ind w:firstLine="640" w:firstLineChars="200"/>
        <w:rPr>
          <w:rFonts w:ascii="仿宋_GB2312" w:eastAsia="仿宋_GB2312"/>
          <w:sz w:val="32"/>
          <w:szCs w:val="32"/>
        </w:rPr>
      </w:pPr>
      <w:r>
        <w:rPr>
          <w:rFonts w:ascii="仿宋_GB2312" w:hAnsi="仿宋_GB2312" w:eastAsia="仿宋_GB2312" w:cs="仿宋_GB2312"/>
          <w:sz w:val="32"/>
        </w:rPr>
        <w:t>公务接待费0万元，开支内容包括压减公务接待，无接待函不予接待。单位全年安排的国内公务接待0批次，0人次。</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一般公共预算“三公”经费支出年初预算数20.81万元，决算数20.81万元，预决算差异率0%，主要原因是：无差异。其中：因公出国（境）费预算数0万元，决算数0万元，预决算差异率0%，主要原因是：无差异；公务用车购置费预算数0万元，决算数0万元，预决算差异率0%，主要原因是：无差异；公务用车运行费预算数20.81万元，决算数20.81万元，预决算差异率0%，主要原因是：无差异；公务接待费预算数0万元，决算数0万元，预决算差异率0%，主要原因是：无差异。</w:t>
      </w:r>
    </w:p>
    <w:p>
      <w:pPr>
        <w:ind w:firstLine="640" w:firstLineChars="200"/>
        <w:outlineLvl w:val="1"/>
        <w:rPr>
          <w:rFonts w:ascii="黑体" w:hAnsi="黑体" w:eastAsia="黑体" w:cs="宋体"/>
          <w:bCs/>
          <w:kern w:val="0"/>
          <w:sz w:val="32"/>
          <w:szCs w:val="32"/>
        </w:rPr>
      </w:pPr>
      <w:bookmarkStart w:id="22" w:name="_Toc5810"/>
      <w:bookmarkStart w:id="23" w:name="_Toc7927"/>
      <w:r>
        <w:rPr>
          <w:rFonts w:hint="eastAsia" w:ascii="黑体" w:hAnsi="黑体" w:eastAsia="黑体" w:cs="宋体"/>
          <w:bCs/>
          <w:kern w:val="0"/>
          <w:sz w:val="32"/>
          <w:szCs w:val="32"/>
        </w:rPr>
        <w:t>八、政府性基金预算收入支出决算情况说明</w:t>
      </w:r>
      <w:bookmarkEnd w:id="22"/>
      <w:bookmarkEnd w:id="23"/>
    </w:p>
    <w:p>
      <w:pPr>
        <w:ind w:firstLine="640" w:firstLineChars="200"/>
        <w:rPr>
          <w:rFonts w:ascii="仿宋_GB2312" w:eastAsia="仿宋_GB2312"/>
          <w:color w:val="000000" w:themeColor="text1"/>
          <w:sz w:val="32"/>
          <w:szCs w:val="32"/>
          <w14:textFill>
            <w14:solidFill>
              <w14:schemeClr w14:val="tx1"/>
            </w14:solidFill>
          </w14:textFill>
        </w:rPr>
      </w:pPr>
      <w:r>
        <w:rPr>
          <w:rFonts w:ascii="仿宋_GB2312" w:hAnsi="仿宋_GB2312" w:eastAsia="仿宋_GB2312" w:cs="仿宋_GB2312"/>
          <w:sz w:val="32"/>
        </w:rPr>
        <w:t>我单位本年度无政府性基金预算财政拨款收入支出，政府性基金预算财政拨款收入支出决算表为空表。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bookmarkStart w:id="24" w:name="_Toc7314"/>
      <w:bookmarkStart w:id="25" w:name="_Toc1235"/>
      <w:r>
        <w:rPr>
          <w:rFonts w:hint="eastAsia" w:ascii="黑体" w:hAnsi="黑体" w:eastAsia="黑体" w:cs="宋体"/>
          <w:bCs/>
          <w:kern w:val="0"/>
          <w:sz w:val="32"/>
          <w:szCs w:val="32"/>
        </w:rPr>
        <w:t>九、其他重要事项的情况说明</w:t>
      </w:r>
      <w:bookmarkEnd w:id="24"/>
      <w:bookmarkEnd w:id="25"/>
    </w:p>
    <w:p>
      <w:pPr>
        <w:ind w:firstLine="640" w:firstLineChars="200"/>
        <w:outlineLvl w:val="2"/>
        <w:rPr>
          <w:rFonts w:ascii="黑体" w:hAnsi="黑体" w:eastAsia="黑体"/>
          <w:sz w:val="32"/>
          <w:szCs w:val="32"/>
        </w:rPr>
      </w:pPr>
      <w:bookmarkStart w:id="26" w:name="_Toc13105"/>
      <w:bookmarkStart w:id="27" w:name="_Toc14519"/>
      <w:r>
        <w:rPr>
          <w:rFonts w:hint="eastAsia" w:ascii="黑体" w:hAnsi="黑体" w:eastAsia="黑体"/>
          <w:sz w:val="32"/>
          <w:szCs w:val="32"/>
        </w:rPr>
        <w:t>（一）机关运行经费支出情况</w:t>
      </w:r>
      <w:bookmarkEnd w:id="26"/>
      <w:bookmarkEnd w:id="27"/>
    </w:p>
    <w:p>
      <w:pPr>
        <w:ind w:firstLine="640" w:firstLineChars="200"/>
        <w:rPr>
          <w:rFonts w:ascii="仿宋_GB2312" w:eastAsia="仿宋_GB2312"/>
          <w:sz w:val="32"/>
          <w:szCs w:val="32"/>
        </w:rPr>
      </w:pPr>
      <w:r>
        <w:rPr>
          <w:rFonts w:ascii="仿宋_GB2312" w:hAnsi="仿宋_GB2312" w:eastAsia="仿宋_GB2312" w:cs="仿宋_GB2312"/>
          <w:sz w:val="32"/>
        </w:rPr>
        <w:t>2019年度新疆喀什地区泽普县人民检察院机关运行经费支出44.45万元，比上年减少8.72万元，降低16.4%，主要原因是压减公用经费支出。</w:t>
      </w:r>
    </w:p>
    <w:p>
      <w:pPr>
        <w:ind w:firstLine="640" w:firstLineChars="200"/>
        <w:outlineLvl w:val="2"/>
        <w:rPr>
          <w:rFonts w:ascii="黑体" w:hAnsi="黑体" w:eastAsia="黑体"/>
          <w:sz w:val="32"/>
          <w:szCs w:val="32"/>
        </w:rPr>
      </w:pPr>
      <w:bookmarkStart w:id="28" w:name="_Toc227"/>
      <w:bookmarkStart w:id="29" w:name="_Toc26704"/>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ascii="仿宋_GB2312" w:hAnsi="仿宋_GB2312" w:eastAsia="仿宋_GB2312" w:cs="仿宋_GB2312"/>
          <w:sz w:val="32"/>
        </w:rPr>
        <w:t>2019年度政府采购支出总额153.04万元，其中：政府采购货物支出150.10万元、政府采购工程支出0万元、政府采购服务支出2.94万元。</w:t>
      </w:r>
    </w:p>
    <w:p>
      <w:pPr>
        <w:ind w:firstLine="640" w:firstLineChars="200"/>
        <w:rPr>
          <w:rFonts w:ascii="仿宋_GB2312" w:eastAsia="仿宋_GB2312"/>
          <w:sz w:val="32"/>
          <w:szCs w:val="32"/>
        </w:rPr>
      </w:pPr>
      <w:r>
        <w:rPr>
          <w:rFonts w:ascii="仿宋_GB2312" w:hAnsi="仿宋_GB2312" w:eastAsia="仿宋_GB2312" w:cs="仿宋_GB2312"/>
          <w:sz w:val="32"/>
        </w:rPr>
        <w:t>授予中小企业合同金额153.04万元，占政府采购支出总额的100%，其中：授予小微企业合同金额153.04万元，占政府采购支出总额的100%。</w:t>
      </w:r>
    </w:p>
    <w:p>
      <w:pPr>
        <w:ind w:firstLine="640" w:firstLineChars="200"/>
        <w:outlineLvl w:val="2"/>
        <w:rPr>
          <w:rFonts w:ascii="黑体" w:hAnsi="黑体" w:eastAsia="黑体"/>
          <w:sz w:val="32"/>
          <w:szCs w:val="32"/>
        </w:rPr>
      </w:pPr>
      <w:bookmarkStart w:id="30" w:name="_Toc4591"/>
      <w:bookmarkStart w:id="31" w:name="_Toc83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ascii="仿宋_GB2312" w:hAnsi="仿宋_GB2312" w:eastAsia="仿宋_GB2312" w:cs="仿宋_GB2312"/>
          <w:sz w:val="32"/>
        </w:rPr>
        <w:t>截止2019年12月31日，单位共有房屋3,857（平方米），价值513.52万元。车辆9辆，价值152.92万元，其中：副部（省）级及以上领导用车0辆、主要领导干部用车0辆、机要通信用车0辆、应急保障用车0辆、执法执勤用车0辆、特种专业技术用车9辆、离退休干部用车0辆、其他用车0辆，其他用车主要是：无其他用车；单位价值50万元以上通用设备0台（套）、单位价值100万元以上专用设备1台（套）。</w:t>
      </w:r>
    </w:p>
    <w:p>
      <w:pPr>
        <w:ind w:firstLine="640" w:firstLineChars="200"/>
        <w:outlineLvl w:val="1"/>
        <w:rPr>
          <w:rFonts w:ascii="黑体" w:hAnsi="黑体" w:eastAsia="黑体" w:cs="宋体"/>
          <w:bCs/>
          <w:kern w:val="0"/>
          <w:sz w:val="32"/>
          <w:szCs w:val="32"/>
        </w:rPr>
      </w:pPr>
      <w:bookmarkStart w:id="32" w:name="_Toc11283"/>
      <w:bookmarkStart w:id="33" w:name="_Toc435"/>
      <w:r>
        <w:rPr>
          <w:rFonts w:hint="eastAsia" w:ascii="黑体" w:hAnsi="黑体" w:eastAsia="黑体" w:cs="宋体"/>
          <w:bCs/>
          <w:kern w:val="0"/>
          <w:sz w:val="32"/>
          <w:szCs w:val="32"/>
        </w:rPr>
        <w:t>十、预算绩效的情况说明</w:t>
      </w:r>
      <w:bookmarkEnd w:id="32"/>
      <w:bookmarkEnd w:id="33"/>
    </w:p>
    <w:p>
      <w:pPr>
        <w:ind w:firstLine="640" w:firstLineChars="200"/>
        <w:rPr>
          <w:rFonts w:ascii="仿宋_GB2312" w:eastAsia="仿宋_GB2312"/>
          <w:sz w:val="32"/>
          <w:szCs w:val="32"/>
        </w:rPr>
      </w:pPr>
      <w:r>
        <w:rPr>
          <w:rFonts w:ascii="仿宋_GB2312" w:hAnsi="仿宋_GB2312" w:eastAsia="仿宋_GB2312" w:cs="仿宋_GB2312"/>
          <w:sz w:val="32"/>
        </w:rPr>
        <w:t>根据预算绩效管理要求，我单位2019年度开展预算绩效评价项目3个，共涉及资金215.31万元。预算绩效管理取得的成效：缓解了经费紧张压力，提升了办案软硬件质量，保障了办案质量、效率。发现的问题及原因：2019年本项目绩效目标全部达成，不存在未完成原因分析。下一步改进措施：制度完善的执行制度，加快经费支出。具体项目自评情况附项目支出绩效自评表。</w:t>
      </w:r>
    </w:p>
    <w:p>
      <w:pPr>
        <w:ind w:firstLine="640" w:firstLineChars="200"/>
        <w:jc w:val="center"/>
        <w:outlineLvl w:val="0"/>
        <w:rPr>
          <w:rFonts w:ascii="黑体" w:hAnsi="黑体" w:eastAsia="黑体"/>
          <w:sz w:val="32"/>
          <w:szCs w:val="32"/>
        </w:rPr>
      </w:pPr>
      <w:bookmarkStart w:id="34" w:name="_Toc3250"/>
      <w:bookmarkStart w:id="35" w:name="_Toc24143"/>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bookmarkStart w:id="36" w:name="_Toc28903"/>
      <w:bookmarkStart w:id="37" w:name="_Toc22784"/>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6062"/>
      <w:bookmarkStart w:id="39" w:name="_Toc2183"/>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30364"/>
      <w:bookmarkStart w:id="41" w:name="_Toc24532"/>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21304"/>
      <w:bookmarkStart w:id="43" w:name="_Toc3243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28786"/>
      <w:bookmarkStart w:id="45" w:name="_Toc14238"/>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4869"/>
      <w:bookmarkStart w:id="47" w:name="_Toc10347"/>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8884"/>
      <w:bookmarkStart w:id="49" w:name="_Toc5626"/>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32663"/>
      <w:bookmarkStart w:id="51" w:name="_Toc29106"/>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5453"/>
      <w:bookmarkStart w:id="53" w:name="_Toc7643"/>
      <w:r>
        <w:rPr>
          <w:rFonts w:hint="eastAsia" w:ascii="黑体" w:hAnsi="黑体" w:eastAsia="黑体" w:cs="宋体"/>
          <w:bCs/>
          <w:kern w:val="0"/>
          <w:sz w:val="32"/>
          <w:szCs w:val="32"/>
        </w:rPr>
        <w:t>八、《政府性基金预算财政拨款收入支出决算表》</w:t>
      </w:r>
      <w:bookmarkEnd w:id="52"/>
      <w:bookmarkEnd w:id="53"/>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OqXm5zwAAAAUBAAAPAAAAAAAAAAEAIAAAACIAAABkcnMvZG93bnJldi54&#10;bWxQSwECFAAUAAAACACHTuJA5STQfgMCAAAEBAAADgAAAAAAAAABACAAAAAeAQAAZHJzL2Uyb0Rv&#10;Yy54bWxQSwUGAAAAAAYABgBZAQAAkwU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bordersDoNotSurroundHeader w:val="1"/>
  <w:bordersDoNotSurroundFooter w:val="1"/>
  <w:documentProtection w:edit="comments" w:enforcement="1" w:cryptProviderType="rsaFull" w:cryptAlgorithmClass="hash" w:cryptAlgorithmType="typeAny" w:cryptAlgorithmSid="4" w:cryptSpinCount="0" w:hash="B9Vf2CCOZfloB/EfhgowiTCuO4A=" w:salt="TJgur7I7Kwj7q4xxahmndw=="/>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E66"/>
    <w:rsid w:val="000033EF"/>
    <w:rsid w:val="00004533"/>
    <w:rsid w:val="00005A21"/>
    <w:rsid w:val="0004063C"/>
    <w:rsid w:val="000701A7"/>
    <w:rsid w:val="00082456"/>
    <w:rsid w:val="000A663A"/>
    <w:rsid w:val="000B5514"/>
    <w:rsid w:val="000B57B8"/>
    <w:rsid w:val="000B69AB"/>
    <w:rsid w:val="000F01B7"/>
    <w:rsid w:val="000F6705"/>
    <w:rsid w:val="001111D4"/>
    <w:rsid w:val="001128A8"/>
    <w:rsid w:val="001130AE"/>
    <w:rsid w:val="001237CF"/>
    <w:rsid w:val="00125A6F"/>
    <w:rsid w:val="0014029C"/>
    <w:rsid w:val="00144642"/>
    <w:rsid w:val="00146FA3"/>
    <w:rsid w:val="001573AA"/>
    <w:rsid w:val="00162E66"/>
    <w:rsid w:val="001826D1"/>
    <w:rsid w:val="001848EE"/>
    <w:rsid w:val="00186B3B"/>
    <w:rsid w:val="001C2D35"/>
    <w:rsid w:val="001C5BE8"/>
    <w:rsid w:val="001C6E66"/>
    <w:rsid w:val="001D3634"/>
    <w:rsid w:val="001D37EF"/>
    <w:rsid w:val="001E4D79"/>
    <w:rsid w:val="001F29A9"/>
    <w:rsid w:val="001F777A"/>
    <w:rsid w:val="002122DE"/>
    <w:rsid w:val="00227229"/>
    <w:rsid w:val="002328AF"/>
    <w:rsid w:val="00233021"/>
    <w:rsid w:val="0024217C"/>
    <w:rsid w:val="00243E6C"/>
    <w:rsid w:val="00246EBC"/>
    <w:rsid w:val="00265F92"/>
    <w:rsid w:val="00272845"/>
    <w:rsid w:val="00282550"/>
    <w:rsid w:val="00287829"/>
    <w:rsid w:val="0029171A"/>
    <w:rsid w:val="00292B7F"/>
    <w:rsid w:val="00292C0A"/>
    <w:rsid w:val="002A4B19"/>
    <w:rsid w:val="002B072F"/>
    <w:rsid w:val="002B37DA"/>
    <w:rsid w:val="002B7A04"/>
    <w:rsid w:val="002D187F"/>
    <w:rsid w:val="002F1732"/>
    <w:rsid w:val="003106FF"/>
    <w:rsid w:val="00327986"/>
    <w:rsid w:val="003314E6"/>
    <w:rsid w:val="00340AE7"/>
    <w:rsid w:val="00354737"/>
    <w:rsid w:val="0037159F"/>
    <w:rsid w:val="00377EC6"/>
    <w:rsid w:val="003920B8"/>
    <w:rsid w:val="003A44F0"/>
    <w:rsid w:val="003C3EF4"/>
    <w:rsid w:val="003D1DD1"/>
    <w:rsid w:val="003E5F70"/>
    <w:rsid w:val="003F60E1"/>
    <w:rsid w:val="00400D8F"/>
    <w:rsid w:val="004161A5"/>
    <w:rsid w:val="00430E56"/>
    <w:rsid w:val="004318F5"/>
    <w:rsid w:val="00456820"/>
    <w:rsid w:val="00471387"/>
    <w:rsid w:val="00471BBD"/>
    <w:rsid w:val="0047268F"/>
    <w:rsid w:val="004A41CF"/>
    <w:rsid w:val="004A44C9"/>
    <w:rsid w:val="004B2E7F"/>
    <w:rsid w:val="004B3B3F"/>
    <w:rsid w:val="004D35C0"/>
    <w:rsid w:val="004E519F"/>
    <w:rsid w:val="004F1D2D"/>
    <w:rsid w:val="004F506B"/>
    <w:rsid w:val="00531503"/>
    <w:rsid w:val="00534ECA"/>
    <w:rsid w:val="005358C2"/>
    <w:rsid w:val="005474EB"/>
    <w:rsid w:val="005506DD"/>
    <w:rsid w:val="005529D0"/>
    <w:rsid w:val="00553FB5"/>
    <w:rsid w:val="00554A58"/>
    <w:rsid w:val="00560394"/>
    <w:rsid w:val="0056525F"/>
    <w:rsid w:val="005B1DE6"/>
    <w:rsid w:val="005C11EB"/>
    <w:rsid w:val="006032AE"/>
    <w:rsid w:val="00684E46"/>
    <w:rsid w:val="0068591E"/>
    <w:rsid w:val="00690F22"/>
    <w:rsid w:val="00693012"/>
    <w:rsid w:val="006B0B73"/>
    <w:rsid w:val="006D2B94"/>
    <w:rsid w:val="006D3853"/>
    <w:rsid w:val="006E0721"/>
    <w:rsid w:val="0070295D"/>
    <w:rsid w:val="00725755"/>
    <w:rsid w:val="0075023C"/>
    <w:rsid w:val="00750D8A"/>
    <w:rsid w:val="00764051"/>
    <w:rsid w:val="00772611"/>
    <w:rsid w:val="007741F8"/>
    <w:rsid w:val="007B0022"/>
    <w:rsid w:val="007E2E4F"/>
    <w:rsid w:val="007E3BFD"/>
    <w:rsid w:val="00807B4B"/>
    <w:rsid w:val="008144CF"/>
    <w:rsid w:val="00822EED"/>
    <w:rsid w:val="00827663"/>
    <w:rsid w:val="00847CE1"/>
    <w:rsid w:val="00852D88"/>
    <w:rsid w:val="00857132"/>
    <w:rsid w:val="00862395"/>
    <w:rsid w:val="0088099A"/>
    <w:rsid w:val="008853A8"/>
    <w:rsid w:val="00887778"/>
    <w:rsid w:val="008A54C1"/>
    <w:rsid w:val="008D5B57"/>
    <w:rsid w:val="008F7D99"/>
    <w:rsid w:val="0090080D"/>
    <w:rsid w:val="00922FA7"/>
    <w:rsid w:val="00927301"/>
    <w:rsid w:val="009351E1"/>
    <w:rsid w:val="0094423A"/>
    <w:rsid w:val="0095219B"/>
    <w:rsid w:val="00963E2E"/>
    <w:rsid w:val="009774AD"/>
    <w:rsid w:val="00980F6F"/>
    <w:rsid w:val="00993788"/>
    <w:rsid w:val="009A173F"/>
    <w:rsid w:val="009C479E"/>
    <w:rsid w:val="009F4245"/>
    <w:rsid w:val="009F594D"/>
    <w:rsid w:val="00A009B3"/>
    <w:rsid w:val="00A239E7"/>
    <w:rsid w:val="00A34EDA"/>
    <w:rsid w:val="00A77ECE"/>
    <w:rsid w:val="00AA13D0"/>
    <w:rsid w:val="00AC0B18"/>
    <w:rsid w:val="00AC1D87"/>
    <w:rsid w:val="00AC2605"/>
    <w:rsid w:val="00AE136F"/>
    <w:rsid w:val="00AE6C82"/>
    <w:rsid w:val="00AE7A56"/>
    <w:rsid w:val="00AF0871"/>
    <w:rsid w:val="00AF530E"/>
    <w:rsid w:val="00AF5DFE"/>
    <w:rsid w:val="00B006E5"/>
    <w:rsid w:val="00B24234"/>
    <w:rsid w:val="00B3219F"/>
    <w:rsid w:val="00B42062"/>
    <w:rsid w:val="00B64D13"/>
    <w:rsid w:val="00B76725"/>
    <w:rsid w:val="00BC38D2"/>
    <w:rsid w:val="00BC65E4"/>
    <w:rsid w:val="00BE0A9F"/>
    <w:rsid w:val="00BF4880"/>
    <w:rsid w:val="00C01003"/>
    <w:rsid w:val="00C2317E"/>
    <w:rsid w:val="00C87860"/>
    <w:rsid w:val="00C92609"/>
    <w:rsid w:val="00C974A0"/>
    <w:rsid w:val="00CA0969"/>
    <w:rsid w:val="00CB7A14"/>
    <w:rsid w:val="00CC66CE"/>
    <w:rsid w:val="00CD1E0A"/>
    <w:rsid w:val="00CE40E2"/>
    <w:rsid w:val="00CE4AEB"/>
    <w:rsid w:val="00CE74CB"/>
    <w:rsid w:val="00D00B68"/>
    <w:rsid w:val="00D04E19"/>
    <w:rsid w:val="00D6644C"/>
    <w:rsid w:val="00D71F68"/>
    <w:rsid w:val="00D767F4"/>
    <w:rsid w:val="00DA07A0"/>
    <w:rsid w:val="00DB4A9A"/>
    <w:rsid w:val="00DB6F81"/>
    <w:rsid w:val="00DD3B82"/>
    <w:rsid w:val="00E02851"/>
    <w:rsid w:val="00E43F43"/>
    <w:rsid w:val="00E76594"/>
    <w:rsid w:val="00EA656B"/>
    <w:rsid w:val="00EB1FF2"/>
    <w:rsid w:val="00EB42AF"/>
    <w:rsid w:val="00EB49C8"/>
    <w:rsid w:val="00EE3598"/>
    <w:rsid w:val="00EE791B"/>
    <w:rsid w:val="00EF3292"/>
    <w:rsid w:val="00F040C7"/>
    <w:rsid w:val="00F04DC0"/>
    <w:rsid w:val="00F24BA1"/>
    <w:rsid w:val="00F45607"/>
    <w:rsid w:val="00F552F7"/>
    <w:rsid w:val="00F57EE2"/>
    <w:rsid w:val="00F67C07"/>
    <w:rsid w:val="00F777E1"/>
    <w:rsid w:val="00F80266"/>
    <w:rsid w:val="00F83E19"/>
    <w:rsid w:val="00FB3828"/>
    <w:rsid w:val="00FC7A52"/>
    <w:rsid w:val="00FE0761"/>
    <w:rsid w:val="00FF5166"/>
    <w:rsid w:val="06792773"/>
    <w:rsid w:val="1DAF458D"/>
    <w:rsid w:val="1E5D5939"/>
    <w:rsid w:val="2A053397"/>
    <w:rsid w:val="2D1136DF"/>
    <w:rsid w:val="31C63837"/>
    <w:rsid w:val="3D5275AC"/>
    <w:rsid w:val="46901EEE"/>
    <w:rsid w:val="469C74D2"/>
    <w:rsid w:val="50DB5F45"/>
    <w:rsid w:val="5AC07467"/>
    <w:rsid w:val="69AD798C"/>
    <w:rsid w:val="6B68175F"/>
    <w:rsid w:val="73FB6630"/>
    <w:rsid w:val="77ED6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uiPriority w:val="0"/>
  </w:style>
  <w:style w:type="paragraph" w:styleId="7">
    <w:name w:val="toc 2"/>
    <w:basedOn w:val="1"/>
    <w:next w:val="1"/>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1031</Words>
  <Characters>5881</Characters>
  <Lines>49</Lines>
  <Paragraphs>13</Paragraphs>
  <TotalTime>10</TotalTime>
  <ScaleCrop>false</ScaleCrop>
  <LinksUpToDate>false</LinksUpToDate>
  <CharactersWithSpaces>6899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2020-09-08T14:04:00Z</dcterms:created>
  <dc:creator>GXR</dc:creator>
  <cp:lastModifiedBy></cp:lastModifiedBy>
  <dcterms:modified xsi:type="dcterms:W3CDTF">2021-06-08T05:30:07Z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