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黑体" w:hAnsi="黑体" w:eastAsia="黑体"/>
          <w:sz w:val="32"/>
          <w:szCs w:val="32"/>
        </w:rPr>
      </w:pPr>
      <w:r>
        <w:rPr>
          <w:rFonts w:hint="eastAsia" w:ascii="黑体" w:hAnsi="黑体" w:eastAsia="黑体"/>
          <w:sz w:val="32"/>
          <w:szCs w:val="32"/>
        </w:rPr>
        <w:t>附件：</w:t>
      </w:r>
    </w:p>
    <w:p>
      <w:pPr>
        <w:jc w:val="center"/>
        <w:rPr>
          <w:rFonts w:ascii="方正小标宋_GBK" w:hAnsi="宋体" w:eastAsia="方正小标宋_GBK"/>
          <w:sz w:val="44"/>
          <w:szCs w:val="44"/>
        </w:rPr>
      </w:pPr>
    </w:p>
    <w:p>
      <w:pPr>
        <w:jc w:val="center"/>
        <w:rPr>
          <w:rFonts w:ascii="方正小标宋_GBK" w:hAnsi="宋体" w:eastAsia="方正小标宋_GBK"/>
          <w:sz w:val="44"/>
          <w:szCs w:val="44"/>
        </w:rPr>
      </w:pPr>
    </w:p>
    <w:p>
      <w:pPr>
        <w:jc w:val="center"/>
        <w:rPr>
          <w:rFonts w:ascii="方正小标宋_GBK" w:hAnsi="宋体" w:eastAsia="方正小标宋_GBK"/>
          <w:sz w:val="44"/>
          <w:szCs w:val="44"/>
        </w:rPr>
      </w:pPr>
    </w:p>
    <w:p>
      <w:pPr>
        <w:jc w:val="center"/>
        <w:rPr>
          <w:rFonts w:ascii="方正小标宋_GBK" w:hAnsi="宋体" w:eastAsia="方正小标宋_GBK"/>
          <w:sz w:val="44"/>
          <w:szCs w:val="44"/>
        </w:rPr>
      </w:pPr>
    </w:p>
    <w:p>
      <w:pPr>
        <w:jc w:val="center"/>
        <w:rPr>
          <w:rFonts w:ascii="方正小标宋_GBK" w:hAnsi="宋体" w:eastAsia="方正小标宋_GBK"/>
          <w:sz w:val="44"/>
          <w:szCs w:val="44"/>
        </w:rPr>
      </w:pPr>
      <w:r>
        <w:rPr>
          <w:rFonts w:ascii="方正小标宋_GBK" w:hAnsi="方正小标宋_GBK" w:eastAsia="方正小标宋_GBK" w:cs="方正小标宋_GBK"/>
          <w:sz w:val="44"/>
        </w:rPr>
        <w:t>新疆喀什地区泽普县人民政府2019年度部门决算公开说明</w:t>
      </w:r>
    </w:p>
    <w:p>
      <w:pPr>
        <w:jc w:val="center"/>
        <w:rPr>
          <w:rFonts w:ascii="仿宋_GB2312" w:hAnsi="仿宋_GB2312" w:eastAsia="仿宋_GB2312" w:cs="仿宋_GB2312"/>
          <w:bCs/>
          <w:kern w:val="0"/>
          <w:sz w:val="32"/>
          <w:szCs w:val="32"/>
        </w:rPr>
      </w:pPr>
      <w:r>
        <w:rPr>
          <w:rFonts w:hint="eastAsia" w:ascii="方正小标宋_GBK" w:hAnsi="宋体" w:eastAsia="方正小标宋_GBK"/>
          <w:sz w:val="44"/>
          <w:szCs w:val="44"/>
        </w:rPr>
        <w:br w:type="page"/>
      </w:r>
      <w:r>
        <w:rPr>
          <w:rFonts w:hint="eastAsia" w:ascii="仿宋_GB2312" w:hAnsi="仿宋_GB2312" w:eastAsia="仿宋_GB2312" w:cs="仿宋_GB2312"/>
          <w:b/>
          <w:kern w:val="0"/>
          <w:sz w:val="36"/>
          <w:szCs w:val="36"/>
        </w:rPr>
        <w:t>目 录</w:t>
      </w:r>
    </w:p>
    <w:p>
      <w:pPr>
        <w:pStyle w:val="6"/>
        <w:tabs>
          <w:tab w:val="right" w:pos="8306"/>
        </w:tabs>
        <w:rPr>
          <w:rFonts w:ascii="仿宋_GB2312" w:hAnsi="仿宋_GB2312" w:eastAsia="仿宋_GB2312" w:cs="仿宋_GB2312"/>
          <w:b/>
          <w:bCs/>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"_Toc32314" </w:instrText>
      </w:r>
      <w:r>
        <w:fldChar w:fldCharType="separate"/>
      </w:r>
      <w:r>
        <w:rPr>
          <w:rFonts w:hint="eastAsia" w:ascii="仿宋_GB2312" w:hAnsi="仿宋_GB2312" w:eastAsia="仿宋_GB2312" w:cs="仿宋_GB2312"/>
          <w:b/>
          <w:bCs/>
          <w:sz w:val="32"/>
          <w:szCs w:val="32"/>
        </w:rPr>
        <w:t>第一部分 部门单位概况</w:t>
      </w:r>
      <w:r>
        <w:rPr>
          <w:rFonts w:hint="eastAsia" w:ascii="仿宋_GB2312" w:hAnsi="仿宋_GB2312" w:eastAsia="仿宋_GB2312" w:cs="仿宋_GB2312"/>
          <w:b/>
          <w:bCs/>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"_Toc30567"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"_Toc2151" </w:instrText>
      </w:r>
      <w:r>
        <w:fldChar w:fldCharType="separate"/>
      </w:r>
      <w:r>
        <w:rPr>
          <w:rFonts w:hint="eastAsia" w:ascii="仿宋_GB2312" w:hAnsi="仿宋_GB2312" w:eastAsia="仿宋_GB2312" w:cs="仿宋_GB2312"/>
          <w:bCs/>
          <w:kern w:val="0"/>
          <w:sz w:val="32"/>
          <w:szCs w:val="32"/>
        </w:rPr>
        <w:t>二、机构设置及人员情况</w:t>
      </w:r>
      <w:r>
        <w:rPr>
          <w:rFonts w:hint="eastAsia" w:ascii="仿宋_GB2312" w:hAnsi="仿宋_GB2312" w:eastAsia="仿宋_GB2312" w:cs="仿宋_GB2312"/>
          <w:bCs/>
          <w:kern w:val="0"/>
          <w:sz w:val="32"/>
          <w:szCs w:val="32"/>
        </w:rPr>
        <w:fldChar w:fldCharType="end"/>
      </w:r>
    </w:p>
    <w:p>
      <w:pPr>
        <w:pStyle w:val="6"/>
        <w:tabs>
          <w:tab w:val="right" w:pos="8306"/>
        </w:tabs>
        <w:rPr>
          <w:rFonts w:ascii="仿宋_GB2312" w:hAnsi="仿宋_GB2312" w:eastAsia="仿宋_GB2312" w:cs="仿宋_GB2312"/>
          <w:b/>
          <w:bCs/>
          <w:sz w:val="32"/>
          <w:szCs w:val="32"/>
        </w:rPr>
      </w:pPr>
      <w:r>
        <w:fldChar w:fldCharType="begin"/>
      </w:r>
      <w:r>
        <w:instrText xml:space="preserve"> HYPERLINK \l "_Toc29374" </w:instrText>
      </w:r>
      <w:r>
        <w:fldChar w:fldCharType="separate"/>
      </w:r>
      <w:r>
        <w:rPr>
          <w:rFonts w:hint="eastAsia" w:ascii="仿宋_GB2312" w:hAnsi="仿宋_GB2312" w:eastAsia="仿宋_GB2312" w:cs="仿宋_GB2312"/>
          <w:b/>
          <w:bCs/>
          <w:sz w:val="32"/>
          <w:szCs w:val="32"/>
        </w:rPr>
        <w:t>第二部分 部门决算情况说明</w:t>
      </w:r>
      <w:r>
        <w:rPr>
          <w:rFonts w:hint="eastAsia" w:ascii="仿宋_GB2312" w:hAnsi="仿宋_GB2312" w:eastAsia="仿宋_GB2312" w:cs="仿宋_GB2312"/>
          <w:b/>
          <w:bCs/>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"_Toc25314"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"_Toc12142"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"_Toc13201"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"_Toc26564"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"_Toc20360"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"_Toc30870"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"_Toc21518" </w:instrText>
      </w:r>
      <w:r>
        <w:fldChar w:fldCharType="separate"/>
      </w:r>
      <w:r>
        <w:rPr>
          <w:rFonts w:hint="eastAsia" w:ascii="仿宋_GB2312" w:hAnsi="仿宋_GB2312" w:eastAsia="仿宋_GB2312" w:cs="仿宋_GB2312"/>
          <w:bCs/>
          <w:kern w:val="0"/>
          <w:sz w:val="32"/>
          <w:szCs w:val="32"/>
        </w:rPr>
        <w:t>七、一般公共预算财政拨款“三公”经费支出决算情况说明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八、政府性基金预算收入支出决算情况说明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"_Toc1235" </w:instrText>
      </w:r>
      <w:r>
        <w:fldChar w:fldCharType="separate"/>
      </w:r>
      <w:r>
        <w:rPr>
          <w:rFonts w:hint="eastAsia" w:ascii="仿宋_GB2312" w:hAnsi="仿宋_GB2312" w:eastAsia="仿宋_GB2312" w:cs="仿宋_GB2312"/>
          <w:bCs/>
          <w:kern w:val="0"/>
          <w:sz w:val="32"/>
          <w:szCs w:val="32"/>
        </w:rPr>
        <w:t>九、其他重要事项的情况说明</w:t>
      </w:r>
      <w:r>
        <w:rPr>
          <w:rFonts w:hint="eastAsia" w:ascii="仿宋_GB2312" w:hAnsi="仿宋_GB2312" w:eastAsia="仿宋_GB2312" w:cs="仿宋_GB2312"/>
          <w:bCs/>
          <w:kern w:val="0"/>
          <w:sz w:val="32"/>
          <w:szCs w:val="32"/>
        </w:rPr>
        <w:fldChar w:fldCharType="end"/>
      </w:r>
    </w:p>
    <w:p>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"_Toc14519" </w:instrText>
      </w:r>
      <w:r>
        <w:fldChar w:fldCharType="separate"/>
      </w:r>
      <w:r>
        <w:rPr>
          <w:rFonts w:hint="eastAsia" w:ascii="仿宋_GB2312" w:hAnsi="仿宋_GB2312" w:eastAsia="仿宋_GB2312" w:cs="仿宋_GB2312"/>
          <w:sz w:val="32"/>
          <w:szCs w:val="32"/>
        </w:rPr>
        <w:t>（一）机关运行经费支出情况</w:t>
      </w:r>
      <w:r>
        <w:rPr>
          <w:rFonts w:hint="eastAsia" w:ascii="仿宋_GB2312" w:hAnsi="仿宋_GB2312" w:eastAsia="仿宋_GB2312" w:cs="仿宋_GB2312"/>
          <w:sz w:val="32"/>
          <w:szCs w:val="32"/>
        </w:rPr>
        <w:fldChar w:fldCharType="end"/>
      </w:r>
    </w:p>
    <w:p>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"_Toc227"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"_Toc8391"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"_Toc11283" </w:instrText>
      </w:r>
      <w:r>
        <w:fldChar w:fldCharType="separate"/>
      </w:r>
      <w:r>
        <w:rPr>
          <w:rFonts w:hint="eastAsia" w:ascii="仿宋_GB2312" w:hAnsi="仿宋_GB2312" w:eastAsia="仿宋_GB2312" w:cs="仿宋_GB2312"/>
          <w:bCs/>
          <w:kern w:val="0"/>
          <w:sz w:val="32"/>
          <w:szCs w:val="32"/>
        </w:rPr>
        <w:t>十、预算绩效的情况说明</w:t>
      </w:r>
      <w:r>
        <w:rPr>
          <w:rFonts w:hint="eastAsia" w:ascii="仿宋_GB2312" w:hAnsi="仿宋_GB2312" w:eastAsia="仿宋_GB2312" w:cs="仿宋_GB2312"/>
          <w:bCs/>
          <w:kern w:val="0"/>
          <w:sz w:val="32"/>
          <w:szCs w:val="32"/>
        </w:rPr>
        <w:fldChar w:fldCharType="end"/>
      </w:r>
    </w:p>
    <w:p>
      <w:pPr>
        <w:pStyle w:val="6"/>
        <w:tabs>
          <w:tab w:val="right" w:pos="8306"/>
        </w:tabs>
        <w:rPr>
          <w:rFonts w:ascii="仿宋_GB2312" w:hAnsi="仿宋_GB2312" w:eastAsia="仿宋_GB2312" w:cs="仿宋_GB2312"/>
          <w:b/>
          <w:bCs/>
          <w:sz w:val="32"/>
          <w:szCs w:val="32"/>
        </w:rPr>
      </w:pPr>
      <w:r>
        <w:fldChar w:fldCharType="begin"/>
      </w:r>
      <w:r>
        <w:instrText xml:space="preserve"> HYPERLINK \l "_Toc3250" </w:instrText>
      </w:r>
      <w:r>
        <w:fldChar w:fldCharType="separate"/>
      </w:r>
      <w:r>
        <w:rPr>
          <w:rFonts w:hint="eastAsia" w:ascii="仿宋_GB2312" w:hAnsi="仿宋_GB2312" w:eastAsia="仿宋_GB2312" w:cs="仿宋_GB2312"/>
          <w:b/>
          <w:bCs/>
          <w:sz w:val="32"/>
          <w:szCs w:val="32"/>
        </w:rPr>
        <w:t>第三部分 专业名词解释</w:t>
      </w:r>
      <w:r>
        <w:rPr>
          <w:rFonts w:hint="eastAsia" w:ascii="仿宋_GB2312" w:hAnsi="仿宋_GB2312" w:eastAsia="仿宋_GB2312" w:cs="仿宋_GB2312"/>
          <w:b/>
          <w:bCs/>
          <w:sz w:val="32"/>
          <w:szCs w:val="32"/>
        </w:rPr>
        <w:fldChar w:fldCharType="end"/>
      </w:r>
    </w:p>
    <w:p>
      <w:pPr>
        <w:pStyle w:val="6"/>
        <w:tabs>
          <w:tab w:val="right" w:pos="8306"/>
        </w:tabs>
        <w:rPr>
          <w:rFonts w:ascii="仿宋_GB2312" w:hAnsi="仿宋_GB2312" w:eastAsia="仿宋_GB2312" w:cs="仿宋_GB2312"/>
          <w:b/>
          <w:bCs/>
          <w:sz w:val="32"/>
          <w:szCs w:val="32"/>
        </w:rPr>
      </w:pPr>
      <w:r>
        <w:fldChar w:fldCharType="begin"/>
      </w:r>
      <w:r>
        <w:instrText xml:space="preserve"> HYPERLINK \l "_Toc22784" </w:instrText>
      </w:r>
      <w:r>
        <w:fldChar w:fldCharType="separate"/>
      </w:r>
      <w:r>
        <w:rPr>
          <w:rFonts w:hint="eastAsia" w:ascii="仿宋_GB2312" w:hAnsi="仿宋_GB2312" w:eastAsia="仿宋_GB2312" w:cs="仿宋_GB2312"/>
          <w:b/>
          <w:bCs/>
          <w:sz w:val="32"/>
          <w:szCs w:val="32"/>
        </w:rPr>
        <w:t>第四部分 部门决算报表（见附表）</w:t>
      </w:r>
      <w:r>
        <w:rPr>
          <w:rFonts w:hint="eastAsia" w:ascii="仿宋_GB2312" w:hAnsi="仿宋_GB2312" w:eastAsia="仿宋_GB2312" w:cs="仿宋_GB2312"/>
          <w:b/>
          <w:bCs/>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"_Toc2183"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"_Toc24532"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"_Toc32434"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"_Toc28786"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"_Toc14869"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"_Toc8884"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"_Toc29106" </w:instrText>
      </w:r>
      <w:r>
        <w:fldChar w:fldCharType="separate"/>
      </w:r>
      <w:r>
        <w:rPr>
          <w:rFonts w:hint="eastAsia" w:ascii="仿宋_GB2312" w:hAnsi="仿宋_GB2312" w:eastAsia="仿宋_GB2312" w:cs="仿宋_GB2312"/>
          <w:bCs/>
          <w:kern w:val="0"/>
          <w:sz w:val="32"/>
          <w:szCs w:val="32"/>
        </w:rPr>
        <w:t>七、《一般公共预算财政拨款“三公”经费支出决算表》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"_Toc7643" </w:instrText>
      </w:r>
      <w:r>
        <w:fldChar w:fldCharType="separate"/>
      </w:r>
      <w:r>
        <w:rPr>
          <w:rFonts w:hint="eastAsia" w:ascii="仿宋_GB2312" w:hAnsi="仿宋_GB2312" w:eastAsia="仿宋_GB2312" w:cs="仿宋_GB2312"/>
          <w:bCs/>
          <w:kern w:val="0"/>
          <w:sz w:val="32"/>
          <w:szCs w:val="32"/>
        </w:rPr>
        <w:t>八、《政府性基金预算财政拨款收入支出决算表》</w:t>
      </w:r>
      <w:r>
        <w:rPr>
          <w:rFonts w:hint="eastAsia" w:ascii="仿宋_GB2312" w:hAnsi="仿宋_GB2312" w:eastAsia="仿宋_GB2312" w:cs="仿宋_GB2312"/>
          <w:bCs/>
          <w:kern w:val="0"/>
          <w:sz w:val="32"/>
          <w:szCs w:val="32"/>
        </w:rPr>
        <w:fldChar w:fldCharType="end"/>
      </w:r>
    </w:p>
    <w:p>
      <w:r>
        <w:rPr>
          <w:rFonts w:hint="eastAsia" w:ascii="仿宋_GB2312" w:hAnsi="仿宋_GB2312" w:eastAsia="仿宋_GB2312" w:cs="仿宋_GB2312"/>
          <w:sz w:val="32"/>
          <w:szCs w:val="32"/>
        </w:rPr>
        <w:fldChar w:fldCharType="end"/>
      </w:r>
    </w:p>
    <w:p>
      <w:pPr>
        <w:ind w:firstLine="640" w:firstLineChars="200"/>
        <w:jc w:val="center"/>
        <w:outlineLvl w:val="0"/>
        <w:rPr>
          <w:rFonts w:ascii="黑体" w:hAnsi="黑体" w:eastAsia="黑体"/>
          <w:sz w:val="32"/>
          <w:szCs w:val="32"/>
        </w:rPr>
      </w:pPr>
      <w:r>
        <w:rPr>
          <w:rFonts w:hint="eastAsia" w:ascii="仿宋_GB2312" w:eastAsia="仿宋_GB2312"/>
          <w:sz w:val="32"/>
          <w:szCs w:val="32"/>
        </w:rPr>
        <w:br w:type="page"/>
      </w:r>
      <w:bookmarkStart w:id="0" w:name="_Toc24028"/>
      <w:bookmarkStart w:id="1" w:name="_Toc32314"/>
      <w:r>
        <w:rPr>
          <w:rFonts w:hint="eastAsia" w:ascii="黑体" w:hAnsi="黑体" w:eastAsia="黑体"/>
          <w:sz w:val="32"/>
          <w:szCs w:val="32"/>
        </w:rPr>
        <w:t>第一部分 部门单位概况</w:t>
      </w:r>
      <w:bookmarkEnd w:id="0"/>
      <w:bookmarkEnd w:id="1"/>
    </w:p>
    <w:p>
      <w:pPr>
        <w:ind w:firstLine="640" w:firstLineChars="200"/>
        <w:outlineLvl w:val="1"/>
        <w:rPr>
          <w:rFonts w:ascii="黑体" w:hAnsi="黑体" w:eastAsia="黑体" w:cs="宋体"/>
          <w:bCs/>
          <w:kern w:val="0"/>
          <w:sz w:val="32"/>
          <w:szCs w:val="32"/>
        </w:rPr>
      </w:pPr>
      <w:bookmarkStart w:id="2" w:name="_Toc30738"/>
      <w:bookmarkStart w:id="3" w:name="_Toc30567"/>
      <w:r>
        <w:rPr>
          <w:rFonts w:hint="eastAsia" w:ascii="黑体" w:hAnsi="黑体" w:eastAsia="黑体" w:cs="宋体"/>
          <w:bCs/>
          <w:kern w:val="0"/>
          <w:sz w:val="32"/>
          <w:szCs w:val="32"/>
        </w:rPr>
        <w:t>一、主要职能</w:t>
      </w:r>
      <w:bookmarkEnd w:id="2"/>
      <w:bookmarkEnd w:id="3"/>
    </w:p>
    <w:p>
      <w:pPr>
        <w:ind w:firstLine="480"/>
        <w:jc w:val="both"/>
      </w:pPr>
      <w:r>
        <w:rPr>
          <w:rFonts w:ascii="仿宋_GB2312" w:hAnsi="仿宋_GB2312" w:eastAsia="仿宋_GB2312" w:cs="仿宋_GB2312"/>
          <w:b w:val="0"/>
          <w:sz w:val="32"/>
        </w:rPr>
        <w:t>1、负责全县人民政府的会务工作，对全县法制工作进行规划，协调，监督，服务。</w:t>
      </w:r>
    </w:p>
    <w:p>
      <w:pPr>
        <w:ind w:firstLine="480"/>
        <w:jc w:val="both"/>
      </w:pPr>
      <w:r>
        <w:rPr>
          <w:rFonts w:ascii="仿宋_GB2312" w:hAnsi="仿宋_GB2312" w:eastAsia="仿宋_GB2312" w:cs="仿宋_GB2312"/>
          <w:b w:val="0"/>
          <w:sz w:val="32"/>
        </w:rPr>
        <w:t>2、协助县人民政府领导组织起草，审核政府名义发布的公文。</w:t>
      </w:r>
    </w:p>
    <w:p>
      <w:pPr>
        <w:ind w:firstLine="480"/>
        <w:jc w:val="both"/>
      </w:pPr>
      <w:r>
        <w:rPr>
          <w:rFonts w:ascii="仿宋_GB2312" w:hAnsi="仿宋_GB2312" w:eastAsia="仿宋_GB2312" w:cs="仿宋_GB2312"/>
          <w:b w:val="0"/>
          <w:sz w:val="32"/>
        </w:rPr>
        <w:t>3、负责人大代表建议意见和政协委员提案的督办工作。</w:t>
      </w:r>
    </w:p>
    <w:p>
      <w:pPr>
        <w:ind w:firstLine="480"/>
        <w:jc w:val="both"/>
      </w:pPr>
      <w:r>
        <w:rPr>
          <w:rFonts w:ascii="仿宋_GB2312" w:hAnsi="仿宋_GB2312" w:eastAsia="仿宋_GB2312" w:cs="仿宋_GB2312"/>
          <w:b w:val="0"/>
          <w:sz w:val="32"/>
        </w:rPr>
        <w:t>4、负责全县各级机关文件统筹规划，业务指导，监督检查。</w:t>
      </w:r>
    </w:p>
    <w:p>
      <w:pPr>
        <w:ind w:firstLine="480"/>
        <w:jc w:val="both"/>
      </w:pPr>
      <w:r>
        <w:rPr>
          <w:rFonts w:ascii="仿宋_GB2312" w:hAnsi="仿宋_GB2312" w:eastAsia="仿宋_GB2312" w:cs="仿宋_GB2312"/>
          <w:b w:val="0"/>
          <w:sz w:val="32"/>
        </w:rPr>
        <w:t>5、负责指导，监督全县政务公开及信息公开工作。</w:t>
      </w:r>
    </w:p>
    <w:p>
      <w:pPr>
        <w:ind w:firstLine="480"/>
        <w:jc w:val="both"/>
      </w:pPr>
      <w:r>
        <w:rPr>
          <w:rFonts w:ascii="仿宋_GB2312" w:hAnsi="仿宋_GB2312" w:eastAsia="仿宋_GB2312" w:cs="仿宋_GB2312"/>
          <w:b w:val="0"/>
          <w:sz w:val="32"/>
        </w:rPr>
        <w:t>6、负责推进，指导，协调县人民政府电子政务，应急，外侨管理，推进人民政府驻异地办事机构的管理。</w:t>
      </w:r>
    </w:p>
    <w:p>
      <w:pPr>
        <w:ind w:firstLine="480"/>
        <w:jc w:val="both"/>
      </w:pPr>
      <w:r>
        <w:rPr>
          <w:rFonts w:ascii="仿宋_GB2312" w:hAnsi="仿宋_GB2312" w:eastAsia="仿宋_GB2312" w:cs="仿宋_GB2312"/>
          <w:b w:val="0"/>
          <w:sz w:val="32"/>
        </w:rPr>
        <w:t>7、承办县委，政府交办的其他事项。</w:t>
      </w:r>
    </w:p>
    <w:p>
      <w:pPr>
        <w:ind w:firstLine="640" w:firstLineChars="200"/>
        <w:outlineLvl w:val="1"/>
        <w:rPr>
          <w:rFonts w:ascii="黑体" w:hAnsi="黑体" w:eastAsia="黑体" w:cs="宋体"/>
          <w:bCs/>
          <w:kern w:val="0"/>
          <w:sz w:val="32"/>
          <w:szCs w:val="32"/>
        </w:rPr>
      </w:pPr>
      <w:bookmarkStart w:id="4" w:name="_Toc31238"/>
      <w:bookmarkStart w:id="5" w:name="_Toc2151"/>
      <w:r>
        <w:rPr>
          <w:rFonts w:hint="eastAsia" w:ascii="黑体" w:hAnsi="黑体" w:eastAsia="黑体" w:cs="宋体"/>
          <w:bCs/>
          <w:kern w:val="0"/>
          <w:sz w:val="32"/>
          <w:szCs w:val="32"/>
        </w:rPr>
        <w:t>二、机构设置及</w:t>
      </w:r>
      <w:bookmarkEnd w:id="4"/>
      <w:r>
        <w:rPr>
          <w:rFonts w:hint="eastAsia" w:ascii="黑体" w:hAnsi="黑体" w:eastAsia="黑体" w:cs="宋体"/>
          <w:bCs/>
          <w:kern w:val="0"/>
          <w:sz w:val="32"/>
          <w:szCs w:val="32"/>
        </w:rPr>
        <w:t>人员情况</w:t>
      </w:r>
      <w:bookmarkEnd w:id="5"/>
    </w:p>
    <w:p>
      <w:pPr>
        <w:ind w:firstLine="640" w:firstLineChars="200"/>
      </w:pPr>
      <w:r>
        <w:rPr>
          <w:rFonts w:ascii="仿宋_GB2312" w:hAnsi="仿宋_GB2312" w:eastAsia="仿宋_GB2312" w:cs="仿宋_GB2312"/>
          <w:sz w:val="32"/>
        </w:rPr>
        <w:t>新疆喀什地区泽普县人民政府2019年度，实有人数65人，其中：在职人员43人，离休人员0人，退休人员22人。</w:t>
      </w:r>
    </w:p>
    <w:p>
      <w:pPr>
        <w:ind w:firstLine="640" w:firstLineChars="200"/>
        <w:rPr>
          <w:rFonts w:ascii="仿宋_GB2312" w:eastAsia="仿宋_GB2312"/>
          <w:sz w:val="32"/>
          <w:szCs w:val="32"/>
        </w:rPr>
      </w:pPr>
      <w:r>
        <w:rPr>
          <w:rFonts w:ascii="仿宋_GB2312" w:hAnsi="仿宋_GB2312" w:eastAsia="仿宋_GB2312" w:cs="仿宋_GB2312"/>
          <w:sz w:val="32"/>
        </w:rPr>
        <w:t>从部门决算单位构成看，新疆喀什地区泽普县人民政府部门决算包括：新疆喀什地区泽普县人民政府决算。</w:t>
      </w:r>
    </w:p>
    <w:p>
      <w:pPr>
        <w:ind w:firstLine="640" w:firstLineChars="200"/>
        <w:jc w:val="center"/>
        <w:outlineLvl w:val="0"/>
        <w:rPr>
          <w:rFonts w:ascii="黑体" w:hAnsi="黑体" w:eastAsia="黑体"/>
          <w:sz w:val="32"/>
          <w:szCs w:val="32"/>
        </w:rPr>
      </w:pPr>
      <w:bookmarkStart w:id="6" w:name="_Toc29374"/>
      <w:bookmarkStart w:id="7" w:name="_Toc3092"/>
      <w:r>
        <w:rPr>
          <w:rFonts w:hint="eastAsia" w:ascii="黑体" w:hAnsi="黑体" w:eastAsia="黑体"/>
          <w:sz w:val="32"/>
          <w:szCs w:val="32"/>
        </w:rPr>
        <w:t>第二部分 部门决算情况说明</w:t>
      </w:r>
      <w:bookmarkEnd w:id="6"/>
      <w:bookmarkEnd w:id="7"/>
    </w:p>
    <w:p>
      <w:pPr>
        <w:ind w:firstLine="640" w:firstLineChars="200"/>
        <w:outlineLvl w:val="1"/>
        <w:rPr>
          <w:rFonts w:ascii="黑体" w:hAnsi="黑体" w:eastAsia="黑体" w:cs="宋体"/>
          <w:bCs/>
          <w:kern w:val="0"/>
          <w:sz w:val="32"/>
          <w:szCs w:val="32"/>
        </w:rPr>
      </w:pPr>
      <w:bookmarkStart w:id="8" w:name="_Toc12566"/>
      <w:bookmarkStart w:id="9" w:name="_Toc25314"/>
      <w:r>
        <w:rPr>
          <w:rFonts w:hint="eastAsia" w:ascii="黑体" w:hAnsi="黑体" w:eastAsia="黑体" w:cs="宋体"/>
          <w:bCs/>
          <w:kern w:val="0"/>
          <w:sz w:val="32"/>
          <w:szCs w:val="32"/>
        </w:rPr>
        <w:t>一、收入支出决算总体情况说明</w:t>
      </w:r>
      <w:bookmarkEnd w:id="8"/>
      <w:bookmarkEnd w:id="9"/>
    </w:p>
    <w:p>
      <w:pPr>
        <w:ind w:firstLine="640" w:firstLineChars="200"/>
        <w:rPr>
          <w:rFonts w:ascii="仿宋_GB2312" w:eastAsia="仿宋_GB2312"/>
          <w:sz w:val="32"/>
          <w:szCs w:val="32"/>
        </w:rPr>
      </w:pPr>
      <w:r>
        <w:rPr>
          <w:rFonts w:ascii="仿宋_GB2312" w:hAnsi="仿宋_GB2312" w:eastAsia="仿宋_GB2312" w:cs="仿宋_GB2312"/>
          <w:sz w:val="32"/>
        </w:rPr>
        <w:t>2019年度本年收入1,566.94万元，与上年相比，减少11,940.43万元，下降88.4%，主要原因是：因机构改革，本年度安居富民办公室、伊斯兰教协会、侨联预算进行了划转。本年支出1,642.09万元，与上年相比，减少15,695.93万元，下降90.53%，主要原因是：1、因机构改革，本年度安居富民办公室、伊斯兰教协会、侨联预算划转，本年收入減少，相应支出也减少。2、本年度严格执行中央八项规定，压减各项待支出。</w:t>
      </w:r>
    </w:p>
    <w:p>
      <w:pPr>
        <w:ind w:firstLine="640" w:firstLineChars="200"/>
        <w:outlineLvl w:val="1"/>
        <w:rPr>
          <w:rFonts w:ascii="黑体" w:hAnsi="黑体" w:eastAsia="黑体" w:cs="宋体"/>
          <w:bCs/>
          <w:kern w:val="0"/>
          <w:sz w:val="32"/>
          <w:szCs w:val="32"/>
        </w:rPr>
      </w:pPr>
      <w:bookmarkStart w:id="10" w:name="_Toc1979"/>
      <w:bookmarkStart w:id="11" w:name="_Toc12142"/>
      <w:r>
        <w:rPr>
          <w:rFonts w:hint="eastAsia" w:ascii="黑体" w:hAnsi="黑体" w:eastAsia="黑体" w:cs="宋体"/>
          <w:bCs/>
          <w:kern w:val="0"/>
          <w:sz w:val="32"/>
          <w:szCs w:val="32"/>
        </w:rPr>
        <w:t>二、收入决算情况说明</w:t>
      </w:r>
      <w:bookmarkEnd w:id="10"/>
      <w:bookmarkEnd w:id="11"/>
    </w:p>
    <w:p>
      <w:pPr>
        <w:ind w:firstLine="640" w:firstLineChars="200"/>
        <w:rPr>
          <w:rFonts w:ascii="仿宋_GB2312" w:eastAsia="仿宋_GB2312"/>
          <w:sz w:val="32"/>
          <w:szCs w:val="32"/>
        </w:rPr>
      </w:pPr>
      <w:r>
        <w:rPr>
          <w:rFonts w:ascii="仿宋_GB2312" w:hAnsi="仿宋_GB2312" w:eastAsia="仿宋_GB2312" w:cs="仿宋_GB2312"/>
          <w:sz w:val="32"/>
        </w:rPr>
        <w:t>2019年度本年收入1,566.94万元，其中：财政拨款收入921.95万元，占58.84%；上级补助收入0万元，占0%；事业收入0万元，占0%；经营收入0万元，占0%；附属单位上缴收入0万元，占0%；其他收入644.99万元，占41.16%。</w:t>
      </w:r>
    </w:p>
    <w:p>
      <w:pPr>
        <w:ind w:firstLine="640" w:firstLineChars="200"/>
        <w:outlineLvl w:val="1"/>
        <w:rPr>
          <w:rFonts w:ascii="黑体" w:hAnsi="黑体" w:eastAsia="黑体" w:cs="宋体"/>
          <w:bCs/>
          <w:kern w:val="0"/>
          <w:sz w:val="32"/>
          <w:szCs w:val="32"/>
        </w:rPr>
      </w:pPr>
      <w:bookmarkStart w:id="12" w:name="_Toc27961"/>
      <w:bookmarkStart w:id="13" w:name="_Toc13201"/>
      <w:r>
        <w:rPr>
          <w:rFonts w:hint="eastAsia" w:ascii="黑体" w:hAnsi="黑体" w:eastAsia="黑体" w:cs="宋体"/>
          <w:bCs/>
          <w:kern w:val="0"/>
          <w:sz w:val="32"/>
          <w:szCs w:val="32"/>
        </w:rPr>
        <w:t>三、支出决算情况说明</w:t>
      </w:r>
      <w:bookmarkEnd w:id="12"/>
      <w:bookmarkEnd w:id="13"/>
    </w:p>
    <w:p>
      <w:pPr>
        <w:ind w:firstLine="640" w:firstLineChars="200"/>
        <w:rPr>
          <w:rFonts w:ascii="仿宋_GB2312" w:eastAsia="仿宋_GB2312"/>
          <w:sz w:val="32"/>
          <w:szCs w:val="32"/>
        </w:rPr>
      </w:pPr>
      <w:r>
        <w:rPr>
          <w:rFonts w:ascii="仿宋_GB2312" w:hAnsi="仿宋_GB2312" w:eastAsia="仿宋_GB2312" w:cs="仿宋_GB2312"/>
          <w:sz w:val="32"/>
        </w:rPr>
        <w:t>2019年度本年支出1,642.09万元，其中：基本支出922.66万元，占56.19%；项目支出719.43万元，占43.81%；上缴上级支出0万元，占0%；经营支出0万元，占0%；对附属单位补助支出0万元，占0%。</w:t>
      </w:r>
    </w:p>
    <w:p>
      <w:pPr>
        <w:ind w:firstLine="640" w:firstLineChars="200"/>
        <w:outlineLvl w:val="1"/>
        <w:rPr>
          <w:rFonts w:ascii="黑体" w:hAnsi="黑体" w:eastAsia="黑体" w:cs="宋体"/>
          <w:bCs/>
          <w:kern w:val="0"/>
          <w:sz w:val="32"/>
          <w:szCs w:val="32"/>
        </w:rPr>
      </w:pPr>
      <w:bookmarkStart w:id="14" w:name="_Toc4393"/>
      <w:bookmarkStart w:id="15" w:name="_Toc26564"/>
      <w:r>
        <w:rPr>
          <w:rFonts w:hint="eastAsia" w:ascii="黑体" w:hAnsi="黑体" w:eastAsia="黑体" w:cs="宋体"/>
          <w:bCs/>
          <w:kern w:val="0"/>
          <w:sz w:val="32"/>
          <w:szCs w:val="32"/>
        </w:rPr>
        <w:t>四、财政拨款收入支出决算总体情况说明</w:t>
      </w:r>
      <w:bookmarkEnd w:id="14"/>
      <w:bookmarkEnd w:id="15"/>
    </w:p>
    <w:p>
      <w:pPr>
        <w:ind w:firstLine="640" w:firstLineChars="200"/>
        <w:rPr>
          <w:rFonts w:ascii="仿宋_GB2312" w:eastAsia="仿宋_GB2312"/>
          <w:sz w:val="32"/>
          <w:szCs w:val="32"/>
        </w:rPr>
      </w:pPr>
      <w:r>
        <w:rPr>
          <w:rFonts w:ascii="仿宋_GB2312" w:hAnsi="仿宋_GB2312" w:eastAsia="仿宋_GB2312" w:cs="仿宋_GB2312"/>
          <w:sz w:val="32"/>
        </w:rPr>
        <w:t>2019年度财政拨款收入921.95万元，与上年相比，减少5,458.22万元，下降85.55%，主要原因是：因机构改革，本年度安居富民办公室、伊斯兰教协会、侨联预算划转，所以本年财政拨款减少。财政拨款支出921.96万元，与上年相比，减少5,569.40万元，下降85.8%，主要原因是：因机构改革，本年度安居富民办公室、伊斯兰教协会、侨联预算划转，2019年购买办公桌椅、购置电脑等共计13.06万元。</w:t>
      </w:r>
    </w:p>
    <w:p>
      <w:pPr>
        <w:ind w:firstLine="640" w:firstLineChars="200"/>
        <w:rPr>
          <w:rFonts w:ascii="仿宋_GB2312" w:eastAsia="仿宋_GB2312"/>
          <w:sz w:val="32"/>
          <w:szCs w:val="32"/>
        </w:rPr>
      </w:pPr>
      <w:r>
        <w:rPr>
          <w:rFonts w:ascii="仿宋_GB2312" w:hAnsi="仿宋_GB2312" w:eastAsia="仿宋_GB2312" w:cs="仿宋_GB2312"/>
          <w:sz w:val="32"/>
        </w:rPr>
        <w:t>与年初预算数相比情况：财政拨款收入年初预算数910.38万元，决算数921.95万元，预决算差异率1.27%，主要原因是：1、本年度人员工资进行了调资。　2、本年度年中追加了日常运行维护费。财政拨款支出年初预算数910.38万元，决算数921.96万元，预决算差异率1.27%，主要原因是：1、本年度人员工资进行了调资。　2、本年度年中追加了日常运行维护费。</w:t>
      </w:r>
    </w:p>
    <w:p>
      <w:pPr>
        <w:ind w:firstLine="640" w:firstLineChars="200"/>
        <w:outlineLvl w:val="1"/>
        <w:rPr>
          <w:rFonts w:ascii="黑体" w:hAnsi="黑体" w:eastAsia="黑体" w:cs="宋体"/>
          <w:bCs/>
          <w:kern w:val="0"/>
          <w:sz w:val="32"/>
          <w:szCs w:val="32"/>
        </w:rPr>
      </w:pPr>
      <w:bookmarkStart w:id="16" w:name="_Toc13833"/>
      <w:bookmarkStart w:id="17" w:name="_Toc20360"/>
      <w:r>
        <w:rPr>
          <w:rFonts w:hint="eastAsia" w:ascii="黑体" w:hAnsi="黑体" w:eastAsia="黑体" w:cs="宋体"/>
          <w:bCs/>
          <w:kern w:val="0"/>
          <w:sz w:val="32"/>
          <w:szCs w:val="32"/>
        </w:rPr>
        <w:t>五、一般公共预算财政拨款支出决算情况说明</w:t>
      </w:r>
      <w:bookmarkEnd w:id="16"/>
      <w:bookmarkEnd w:id="17"/>
    </w:p>
    <w:p>
      <w:pPr>
        <w:ind w:firstLine="640" w:firstLineChars="200"/>
        <w:rPr>
          <w:rFonts w:ascii="仿宋_GB2312" w:eastAsia="仿宋_GB2312"/>
          <w:sz w:val="32"/>
          <w:szCs w:val="32"/>
        </w:rPr>
      </w:pPr>
      <w:r>
        <w:rPr>
          <w:rFonts w:ascii="仿宋_GB2312" w:hAnsi="仿宋_GB2312" w:eastAsia="仿宋_GB2312" w:cs="仿宋_GB2312"/>
          <w:sz w:val="32"/>
        </w:rPr>
        <w:t>2019年度一般公共预算财政拨款支出921.96万元。按功能分类科目项级科目公开，其中：</w:t>
      </w:r>
    </w:p>
    <w:p>
      <w:pPr>
        <w:ind w:firstLine="480"/>
        <w:jc w:val="both"/>
      </w:pPr>
      <w:r>
        <w:rPr>
          <w:rFonts w:ascii="仿宋_GB2312" w:hAnsi="仿宋_GB2312" w:eastAsia="仿宋_GB2312" w:cs="仿宋_GB2312"/>
          <w:b w:val="0"/>
          <w:sz w:val="32"/>
        </w:rPr>
        <w:t xml:space="preserve">   2010301行政运行支出700.59万元；</w:t>
      </w:r>
    </w:p>
    <w:p>
      <w:pPr>
        <w:ind w:firstLine="480"/>
        <w:jc w:val="both"/>
      </w:pPr>
      <w:r>
        <w:rPr>
          <w:rFonts w:ascii="仿宋_GB2312" w:hAnsi="仿宋_GB2312" w:eastAsia="仿宋_GB2312" w:cs="仿宋_GB2312"/>
          <w:b w:val="0"/>
          <w:sz w:val="32"/>
        </w:rPr>
        <w:t xml:space="preserve">   2010308信访事务支出0万元；</w:t>
      </w:r>
    </w:p>
    <w:p>
      <w:pPr>
        <w:ind w:firstLine="480"/>
        <w:jc w:val="both"/>
      </w:pPr>
      <w:r>
        <w:rPr>
          <w:rFonts w:ascii="仿宋_GB2312" w:hAnsi="仿宋_GB2312" w:eastAsia="仿宋_GB2312" w:cs="仿宋_GB2312"/>
          <w:b w:val="0"/>
          <w:sz w:val="32"/>
        </w:rPr>
        <w:t xml:space="preserve">   2013101行政运行支出67.50万元；</w:t>
      </w:r>
    </w:p>
    <w:p>
      <w:pPr>
        <w:ind w:firstLine="480"/>
        <w:jc w:val="both"/>
      </w:pPr>
      <w:r>
        <w:rPr>
          <w:rFonts w:ascii="仿宋_GB2312" w:hAnsi="仿宋_GB2312" w:eastAsia="仿宋_GB2312" w:cs="仿宋_GB2312"/>
          <w:b w:val="0"/>
          <w:sz w:val="32"/>
        </w:rPr>
        <w:t xml:space="preserve">   2013401行政运行支出28.77万元；</w:t>
      </w:r>
    </w:p>
    <w:p>
      <w:pPr>
        <w:ind w:firstLine="480"/>
        <w:jc w:val="both"/>
      </w:pPr>
      <w:r>
        <w:rPr>
          <w:rFonts w:ascii="仿宋_GB2312" w:hAnsi="仿宋_GB2312" w:eastAsia="仿宋_GB2312" w:cs="仿宋_GB2312"/>
          <w:b w:val="0"/>
          <w:sz w:val="32"/>
        </w:rPr>
        <w:t xml:space="preserve">   2080505机关事业单位基本养老保险缴费支出70.09万元；</w:t>
      </w:r>
    </w:p>
    <w:p>
      <w:pPr>
        <w:ind w:firstLine="480"/>
        <w:jc w:val="both"/>
      </w:pPr>
      <w:r>
        <w:rPr>
          <w:rFonts w:ascii="仿宋_GB2312" w:hAnsi="仿宋_GB2312" w:eastAsia="仿宋_GB2312" w:cs="仿宋_GB2312"/>
          <w:b w:val="0"/>
          <w:sz w:val="32"/>
        </w:rPr>
        <w:t xml:space="preserve">   2080506机关事业单位职业年金缴费支出3.55万元；</w:t>
      </w:r>
    </w:p>
    <w:p>
      <w:pPr>
        <w:ind w:firstLine="480"/>
        <w:jc w:val="both"/>
      </w:pPr>
      <w:r>
        <w:rPr>
          <w:rFonts w:ascii="仿宋_GB2312" w:hAnsi="仿宋_GB2312" w:eastAsia="仿宋_GB2312" w:cs="仿宋_GB2312"/>
          <w:b w:val="0"/>
          <w:sz w:val="32"/>
        </w:rPr>
        <w:t xml:space="preserve">   2210199其他保障性安居工程支出0万元；</w:t>
      </w:r>
    </w:p>
    <w:p>
      <w:pPr>
        <w:ind w:firstLine="480"/>
        <w:jc w:val="both"/>
      </w:pPr>
      <w:r>
        <w:rPr>
          <w:rFonts w:ascii="仿宋_GB2312" w:hAnsi="仿宋_GB2312" w:eastAsia="仿宋_GB2312" w:cs="仿宋_GB2312"/>
          <w:b w:val="0"/>
          <w:sz w:val="32"/>
        </w:rPr>
        <w:t xml:space="preserve">   2210201住房公积金支出51.46万元。</w:t>
      </w:r>
    </w:p>
    <w:p>
      <w:pPr>
        <w:ind w:firstLine="640" w:firstLineChars="200"/>
        <w:outlineLvl w:val="1"/>
        <w:rPr>
          <w:rFonts w:ascii="黑体" w:hAnsi="黑体" w:eastAsia="黑体" w:cs="宋体"/>
          <w:bCs/>
          <w:kern w:val="0"/>
          <w:sz w:val="32"/>
          <w:szCs w:val="32"/>
        </w:rPr>
      </w:pPr>
      <w:bookmarkStart w:id="18" w:name="_Toc11146"/>
      <w:bookmarkStart w:id="19" w:name="_Toc30870"/>
      <w:r>
        <w:rPr>
          <w:rFonts w:hint="eastAsia" w:ascii="黑体" w:hAnsi="黑体" w:eastAsia="黑体" w:cs="宋体"/>
          <w:bCs/>
          <w:kern w:val="0"/>
          <w:sz w:val="32"/>
          <w:szCs w:val="32"/>
        </w:rPr>
        <w:t>六、一般公共预算财政拨款基本支出决算情况说明</w:t>
      </w:r>
      <w:bookmarkEnd w:id="18"/>
      <w:bookmarkEnd w:id="19"/>
    </w:p>
    <w:p>
      <w:pPr>
        <w:ind w:firstLine="640" w:firstLineChars="200"/>
        <w:rPr>
          <w:rFonts w:ascii="仿宋_GB2312" w:eastAsia="仿宋_GB2312"/>
          <w:sz w:val="32"/>
          <w:szCs w:val="32"/>
        </w:rPr>
      </w:pPr>
      <w:r>
        <w:rPr>
          <w:rFonts w:ascii="仿宋_GB2312" w:hAnsi="仿宋_GB2312" w:eastAsia="仿宋_GB2312" w:cs="仿宋_GB2312"/>
          <w:sz w:val="32"/>
        </w:rPr>
        <w:t>2019年度一般公共预算财政拨款基本支出921.96万元，其中：</w:t>
      </w:r>
    </w:p>
    <w:p>
      <w:pPr>
        <w:ind w:firstLine="640" w:firstLineChars="200"/>
        <w:rPr>
          <w:rFonts w:ascii="仿宋_GB2312" w:eastAsia="仿宋_GB2312"/>
          <w:sz w:val="32"/>
          <w:szCs w:val="32"/>
        </w:rPr>
      </w:pPr>
      <w:r>
        <w:rPr>
          <w:rFonts w:ascii="仿宋_GB2312" w:hAnsi="仿宋_GB2312" w:eastAsia="仿宋_GB2312" w:cs="仿宋_GB2312"/>
          <w:sz w:val="32"/>
        </w:rPr>
        <w:t>人员经费721.15万元，包括：基本工资、津贴补贴、机关事业单位基本养老保险缴费、职业年金缴费、职工基本医疗保险缴费、公务员医疗补助缴费、其他社会保障缴费、住房公积金、其他工资福利支出、退休费、抚恤金、生活补助、奖励金。</w:t>
      </w:r>
    </w:p>
    <w:p>
      <w:pPr>
        <w:ind w:firstLine="640" w:firstLineChars="200"/>
        <w:rPr>
          <w:rFonts w:hint="default" w:ascii="仿宋_GB2312" w:eastAsia="仿宋_GB2312"/>
          <w:sz w:val="32"/>
          <w:szCs w:val="32"/>
          <w:lang w:val="en-US" w:eastAsia="zh-CN"/>
        </w:rPr>
      </w:pPr>
      <w:r>
        <w:rPr>
          <w:rFonts w:ascii="仿宋_GB2312" w:hAnsi="仿宋_GB2312" w:eastAsia="仿宋_GB2312" w:cs="仿宋_GB2312"/>
          <w:sz w:val="32"/>
        </w:rPr>
        <w:t>公用经费200.81万元，包括：办公费、咨询费、手续费、水费、电费、邮电费、取暖费、差旅费、维修（护）费、租赁费、培训费、公务接待费、劳务费、公务用车运行维护费</w:t>
      </w:r>
      <w:r>
        <w:rPr>
          <w:rFonts w:hint="eastAsia" w:ascii="仿宋_GB2312" w:hAnsi="仿宋_GB2312" w:eastAsia="仿宋_GB2312" w:cs="仿宋_GB2312"/>
          <w:sz w:val="32"/>
          <w:lang w:eastAsia="zh-CN"/>
        </w:rPr>
        <w:t>、办公设备购置费。</w:t>
      </w:r>
    </w:p>
    <w:p>
      <w:pPr>
        <w:ind w:firstLine="640" w:firstLineChars="200"/>
        <w:outlineLvl w:val="1"/>
        <w:rPr>
          <w:rFonts w:ascii="黑体" w:hAnsi="黑体" w:eastAsia="黑体" w:cs="宋体"/>
          <w:bCs/>
          <w:kern w:val="0"/>
          <w:sz w:val="32"/>
          <w:szCs w:val="32"/>
        </w:rPr>
      </w:pPr>
      <w:bookmarkStart w:id="20" w:name="_Toc7190"/>
      <w:bookmarkStart w:id="21" w:name="_Toc21518"/>
      <w:r>
        <w:rPr>
          <w:rFonts w:hint="eastAsia" w:ascii="黑体" w:hAnsi="黑体" w:eastAsia="黑体" w:cs="宋体"/>
          <w:bCs/>
          <w:kern w:val="0"/>
          <w:sz w:val="32"/>
          <w:szCs w:val="32"/>
        </w:rPr>
        <w:t>七、一般公共预算财政拨款“三公”经费支出决算情况说明</w:t>
      </w:r>
      <w:bookmarkEnd w:id="20"/>
      <w:bookmarkEnd w:id="21"/>
    </w:p>
    <w:p>
      <w:pPr>
        <w:ind w:firstLine="640" w:firstLineChars="200"/>
        <w:rPr>
          <w:rFonts w:ascii="仿宋_GB2312" w:eastAsia="仿宋_GB2312"/>
          <w:sz w:val="32"/>
          <w:szCs w:val="32"/>
        </w:rPr>
      </w:pPr>
      <w:r>
        <w:rPr>
          <w:rFonts w:ascii="仿宋_GB2312" w:hAnsi="仿宋_GB2312" w:eastAsia="仿宋_GB2312" w:cs="仿宋_GB2312"/>
          <w:sz w:val="32"/>
        </w:rPr>
        <w:t>2019年度一般公共预算“三公”经费支出决算69.96万元，比上年减少3.87万元，降低5.24%，主要原因是本年度严格执行中央八项规定，压减“三公”经费支出。2019年购买办公桌椅、购置电脑等共计13.06万元。其中，因公出国（境）费支出0万元，占0%，比上年增加0万元，增长0%，主要原因是本年未发生因公出国（境）费支出；公务用车购置及运行维护费支出64.17万元，占91.7</w:t>
      </w:r>
      <w:r>
        <w:rPr>
          <w:rFonts w:hint="eastAsia" w:ascii="仿宋_GB2312" w:hAnsi="仿宋_GB2312" w:eastAsia="仿宋_GB2312" w:cs="仿宋_GB2312"/>
          <w:sz w:val="32"/>
          <w:lang w:val="en-US" w:eastAsia="zh-CN"/>
        </w:rPr>
        <w:t>3</w:t>
      </w:r>
      <w:r>
        <w:rPr>
          <w:rFonts w:ascii="仿宋_GB2312" w:hAnsi="仿宋_GB2312" w:eastAsia="仿宋_GB2312" w:cs="仿宋_GB2312"/>
          <w:sz w:val="32"/>
        </w:rPr>
        <w:t>%，比上年增加1.91万元，增长3.07%，主要原因是因本单位公务用车使用年限较长，需定期进行维修、维护；公务接待费支出5.78万元，占8.2</w:t>
      </w:r>
      <w:r>
        <w:rPr>
          <w:rFonts w:hint="eastAsia" w:ascii="仿宋_GB2312" w:hAnsi="仿宋_GB2312" w:eastAsia="仿宋_GB2312" w:cs="仿宋_GB2312"/>
          <w:sz w:val="32"/>
          <w:lang w:val="en-US" w:eastAsia="zh-CN"/>
        </w:rPr>
        <w:t>7</w:t>
      </w:r>
      <w:r>
        <w:rPr>
          <w:rFonts w:ascii="仿宋_GB2312" w:hAnsi="仿宋_GB2312" w:eastAsia="仿宋_GB2312" w:cs="仿宋_GB2312"/>
          <w:sz w:val="32"/>
        </w:rPr>
        <w:t>%，比上年减少5.79万元，降低50.04%，主要原因是本年</w:t>
      </w:r>
      <w:bookmarkStart w:id="54" w:name="_GoBack"/>
      <w:bookmarkEnd w:id="54"/>
      <w:r>
        <w:rPr>
          <w:rFonts w:ascii="仿宋_GB2312" w:hAnsi="仿宋_GB2312" w:eastAsia="仿宋_GB2312" w:cs="仿宋_GB2312"/>
          <w:sz w:val="32"/>
        </w:rPr>
        <w:t>度严格执行中央八项规定，压减公务接待支出。具体情况如下：</w:t>
      </w:r>
    </w:p>
    <w:p>
      <w:pPr>
        <w:ind w:firstLine="640" w:firstLineChars="200"/>
        <w:rPr>
          <w:rFonts w:ascii="仿宋_GB2312" w:eastAsia="仿宋_GB2312"/>
          <w:sz w:val="32"/>
          <w:szCs w:val="32"/>
        </w:rPr>
      </w:pPr>
      <w:r>
        <w:rPr>
          <w:rFonts w:ascii="仿宋_GB2312" w:hAnsi="仿宋_GB2312" w:eastAsia="仿宋_GB2312" w:cs="仿宋_GB2312"/>
          <w:sz w:val="32"/>
        </w:rPr>
        <w:t>因公出国（境）费支出0万元，开支内容包括：本年未发生因公出国（境）费支出。单位全年安排的因公出国（境）团组0个，因公出国（境）0人次。</w:t>
      </w:r>
    </w:p>
    <w:p>
      <w:pPr>
        <w:ind w:firstLine="640" w:firstLineChars="200"/>
        <w:rPr>
          <w:rFonts w:ascii="仿宋_GB2312" w:eastAsia="仿宋_GB2312"/>
          <w:sz w:val="32"/>
          <w:szCs w:val="32"/>
        </w:rPr>
      </w:pPr>
      <w:r>
        <w:rPr>
          <w:rFonts w:ascii="仿宋_GB2312" w:hAnsi="仿宋_GB2312" w:eastAsia="仿宋_GB2312" w:cs="仿宋_GB2312"/>
          <w:sz w:val="32"/>
        </w:rPr>
        <w:t>公务用车购置及运行维护费64.17万元，其中，公务用车购置费0万元，公务用车运行维护费64.17万元。公务用车运行维护费开支内容包括公务用车保险费、汽油费、维修、维护费、审验费等。公务用车购置数0辆，公务用车保有量13辆。</w:t>
      </w:r>
    </w:p>
    <w:p>
      <w:pPr>
        <w:ind w:firstLine="640" w:firstLineChars="200"/>
        <w:rPr>
          <w:rFonts w:ascii="仿宋_GB2312" w:eastAsia="仿宋_GB2312"/>
          <w:sz w:val="32"/>
          <w:szCs w:val="32"/>
        </w:rPr>
      </w:pPr>
      <w:r>
        <w:rPr>
          <w:rFonts w:ascii="仿宋_GB2312" w:hAnsi="仿宋_GB2312" w:eastAsia="仿宋_GB2312" w:cs="仿宋_GB2312"/>
          <w:sz w:val="32"/>
        </w:rPr>
        <w:t>公务接待费5.78万元，开支内容包括国内公务接待支出5.78万元。单位全年安排的国内公务接待10批次，196人次。</w:t>
      </w:r>
    </w:p>
    <w:p>
      <w:pPr>
        <w:ind w:firstLine="640" w:firstLineChars="200"/>
        <w:rPr>
          <w:rFonts w:ascii="仿宋_GB2312" w:eastAsia="仿宋_GB2312"/>
          <w:sz w:val="32"/>
          <w:szCs w:val="32"/>
        </w:rPr>
      </w:pPr>
      <w:r>
        <w:rPr>
          <w:rFonts w:ascii="仿宋_GB2312" w:hAnsi="仿宋_GB2312" w:eastAsia="仿宋_GB2312" w:cs="仿宋_GB2312"/>
          <w:sz w:val="32"/>
        </w:rPr>
        <w:t>与年初预算数相比情况：一般公共预算“三公”经费支出年初预算数69.96万元，决算数69.96万元，预决算差异率0%，主要原因是：“三公”经费支出预决算不存在差异。其中：因公出国（境）费预算数0万元，决算数0万元，预决算差异率0%，主要原因是：因公出国（境）费支出不存在差异；公务用车购置费预算数0万元，决算数0万元，预决算差异率0%，主要原因是：本年度未发生公务用车购置费支出；公务用车运行费预算数64.17万元，决算数64.17万元，预决算差异率0%，主要原因是：本年公务用车运行维护费预决算数据不存在差异；公务接待费预算数5.78万元，决算数5.78万元，预决算差异率0%，主要原因是：本年公务接待支出预决算数据不存在差异。</w:t>
      </w:r>
    </w:p>
    <w:p>
      <w:pPr>
        <w:ind w:firstLine="640" w:firstLineChars="200"/>
        <w:outlineLvl w:val="1"/>
        <w:rPr>
          <w:rFonts w:ascii="黑体" w:hAnsi="黑体" w:eastAsia="黑体" w:cs="宋体"/>
          <w:bCs/>
          <w:kern w:val="0"/>
          <w:sz w:val="32"/>
          <w:szCs w:val="32"/>
        </w:rPr>
      </w:pPr>
      <w:bookmarkStart w:id="22" w:name="_Toc5810"/>
      <w:bookmarkStart w:id="23" w:name="_Toc7927"/>
      <w:r>
        <w:rPr>
          <w:rFonts w:hint="eastAsia" w:ascii="黑体" w:hAnsi="黑体" w:eastAsia="黑体" w:cs="宋体"/>
          <w:bCs/>
          <w:kern w:val="0"/>
          <w:sz w:val="32"/>
          <w:szCs w:val="32"/>
        </w:rPr>
        <w:t>八、政府性基金预算收入支出决算情况说明</w:t>
      </w:r>
      <w:bookmarkEnd w:id="22"/>
      <w:bookmarkEnd w:id="23"/>
    </w:p>
    <w:p>
      <w:pPr>
        <w:ind w:firstLine="640" w:firstLineChars="200"/>
        <w:rPr>
          <w:rFonts w:ascii="仿宋_GB2312" w:eastAsia="仿宋_GB2312"/>
          <w:color w:val="000000" w:themeColor="text1"/>
          <w:sz w:val="32"/>
          <w:szCs w:val="32"/>
          <w14:textFill>
            <w14:solidFill>
              <w14:schemeClr w14:val="tx1"/>
            </w14:solidFill>
          </w14:textFill>
        </w:rPr>
      </w:pPr>
      <w:r>
        <w:rPr>
          <w:rFonts w:ascii="仿宋_GB2312" w:hAnsi="仿宋_GB2312" w:eastAsia="仿宋_GB2312" w:cs="仿宋_GB2312"/>
          <w:sz w:val="32"/>
        </w:rPr>
        <w:t>我单位本年度无政府性基金预算财政拨款收入支出，政府性基金预算财政拨款收入支出决算表为空表。</w:t>
      </w:r>
    </w:p>
    <w:p>
      <w:pPr>
        <w:ind w:firstLine="640" w:firstLineChars="200"/>
        <w:outlineLvl w:val="1"/>
        <w:rPr>
          <w:rFonts w:ascii="黑体" w:hAnsi="黑体" w:eastAsia="黑体" w:cs="宋体"/>
          <w:bCs/>
          <w:kern w:val="0"/>
          <w:sz w:val="32"/>
          <w:szCs w:val="32"/>
        </w:rPr>
      </w:pPr>
      <w:bookmarkStart w:id="24" w:name="_Toc7314"/>
      <w:bookmarkStart w:id="25" w:name="_Toc1235"/>
      <w:r>
        <w:rPr>
          <w:rFonts w:hint="eastAsia" w:ascii="黑体" w:hAnsi="黑体" w:eastAsia="黑体" w:cs="宋体"/>
          <w:bCs/>
          <w:kern w:val="0"/>
          <w:sz w:val="32"/>
          <w:szCs w:val="32"/>
        </w:rPr>
        <w:t>九、其他重要事项的情况说明</w:t>
      </w:r>
      <w:bookmarkEnd w:id="24"/>
      <w:bookmarkEnd w:id="25"/>
    </w:p>
    <w:p>
      <w:pPr>
        <w:ind w:firstLine="640" w:firstLineChars="200"/>
        <w:outlineLvl w:val="2"/>
        <w:rPr>
          <w:rFonts w:ascii="黑体" w:hAnsi="黑体" w:eastAsia="黑体"/>
          <w:sz w:val="32"/>
          <w:szCs w:val="32"/>
        </w:rPr>
      </w:pPr>
      <w:bookmarkStart w:id="26" w:name="_Toc13105"/>
      <w:bookmarkStart w:id="27" w:name="_Toc14519"/>
      <w:r>
        <w:rPr>
          <w:rFonts w:hint="eastAsia" w:ascii="黑体" w:hAnsi="黑体" w:eastAsia="黑体"/>
          <w:sz w:val="32"/>
          <w:szCs w:val="32"/>
        </w:rPr>
        <w:t>（一）机关运行经费支出情况</w:t>
      </w:r>
      <w:bookmarkEnd w:id="26"/>
      <w:bookmarkEnd w:id="27"/>
    </w:p>
    <w:p>
      <w:pPr>
        <w:ind w:firstLine="640" w:firstLineChars="200"/>
        <w:rPr>
          <w:rFonts w:ascii="仿宋_GB2312" w:eastAsia="仿宋_GB2312"/>
          <w:sz w:val="32"/>
          <w:szCs w:val="32"/>
        </w:rPr>
      </w:pPr>
      <w:r>
        <w:rPr>
          <w:rFonts w:ascii="仿宋_GB2312" w:hAnsi="仿宋_GB2312" w:eastAsia="仿宋_GB2312" w:cs="仿宋_GB2312"/>
          <w:sz w:val="32"/>
        </w:rPr>
        <w:t>2019年度新疆喀什地区泽普县人民政府机关运行经费支出200.81万元，比上年减少95.46万元，降低32.22%，主要原因是本年度严格执行中央八项规定，压减机关运行经费支出。</w:t>
      </w:r>
    </w:p>
    <w:p>
      <w:pPr>
        <w:ind w:firstLine="640" w:firstLineChars="200"/>
        <w:outlineLvl w:val="2"/>
        <w:rPr>
          <w:rFonts w:ascii="黑体" w:hAnsi="黑体" w:eastAsia="黑体"/>
          <w:sz w:val="32"/>
          <w:szCs w:val="32"/>
        </w:rPr>
      </w:pPr>
      <w:bookmarkStart w:id="28" w:name="_Toc26704"/>
      <w:bookmarkStart w:id="29" w:name="_Toc227"/>
      <w:r>
        <w:rPr>
          <w:rFonts w:hint="eastAsia" w:ascii="黑体" w:hAnsi="黑体" w:eastAsia="黑体"/>
          <w:sz w:val="32"/>
          <w:szCs w:val="32"/>
        </w:rPr>
        <w:t>（二）政府采购情况</w:t>
      </w:r>
      <w:bookmarkEnd w:id="28"/>
      <w:bookmarkEnd w:id="29"/>
    </w:p>
    <w:p>
      <w:pPr>
        <w:ind w:firstLine="640" w:firstLineChars="200"/>
        <w:rPr>
          <w:rFonts w:ascii="仿宋_GB2312" w:eastAsia="仿宋_GB2312"/>
          <w:sz w:val="32"/>
          <w:szCs w:val="32"/>
        </w:rPr>
      </w:pPr>
      <w:r>
        <w:rPr>
          <w:rFonts w:ascii="仿宋_GB2312" w:hAnsi="仿宋_GB2312" w:eastAsia="仿宋_GB2312" w:cs="仿宋_GB2312"/>
          <w:sz w:val="32"/>
        </w:rPr>
        <w:t>2019年度政府采购支出总额19.61万元，其中：政府采购货物支出10.77万元、政府采购工程支出0万元、政府采购服务支出8.84万元。</w:t>
      </w:r>
    </w:p>
    <w:p>
      <w:pPr>
        <w:ind w:firstLine="640" w:firstLineChars="200"/>
        <w:rPr>
          <w:rFonts w:ascii="仿宋_GB2312" w:eastAsia="仿宋_GB2312"/>
          <w:sz w:val="32"/>
          <w:szCs w:val="32"/>
        </w:rPr>
      </w:pPr>
      <w:r>
        <w:rPr>
          <w:rFonts w:ascii="仿宋_GB2312" w:hAnsi="仿宋_GB2312" w:eastAsia="仿宋_GB2312" w:cs="仿宋_GB2312"/>
          <w:sz w:val="32"/>
        </w:rPr>
        <w:t>授予中小企业合同金额19.61万元，占政府采购支出总额的100%，其中：授予小微企业合同金额19.61万元，占政府采购支出总额的100%。</w:t>
      </w:r>
    </w:p>
    <w:p>
      <w:pPr>
        <w:ind w:firstLine="640" w:firstLineChars="200"/>
        <w:outlineLvl w:val="2"/>
        <w:rPr>
          <w:rFonts w:ascii="黑体" w:hAnsi="黑体" w:eastAsia="黑体"/>
          <w:sz w:val="32"/>
          <w:szCs w:val="32"/>
        </w:rPr>
      </w:pPr>
      <w:bookmarkStart w:id="30" w:name="_Toc4591"/>
      <w:bookmarkStart w:id="31" w:name="_Toc8391"/>
      <w:r>
        <w:rPr>
          <w:rFonts w:hint="eastAsia" w:ascii="黑体" w:hAnsi="黑体" w:eastAsia="黑体"/>
          <w:sz w:val="32"/>
          <w:szCs w:val="32"/>
        </w:rPr>
        <w:t>（三）国有资产占用情况说明</w:t>
      </w:r>
      <w:bookmarkEnd w:id="30"/>
      <w:bookmarkEnd w:id="31"/>
    </w:p>
    <w:p>
      <w:pPr>
        <w:ind w:firstLine="640" w:firstLineChars="200"/>
        <w:rPr>
          <w:rFonts w:ascii="仿宋_GB2312" w:eastAsia="仿宋_GB2312"/>
          <w:sz w:val="32"/>
          <w:szCs w:val="32"/>
        </w:rPr>
      </w:pPr>
      <w:r>
        <w:rPr>
          <w:rFonts w:ascii="仿宋_GB2312" w:hAnsi="仿宋_GB2312" w:eastAsia="仿宋_GB2312" w:cs="仿宋_GB2312"/>
          <w:sz w:val="32"/>
        </w:rPr>
        <w:t>截止2019年12月31日，单位共有房屋0（平方米），价值0万元。车辆13辆，价值237.12万元，其中：副部（省）级及以上领导用车0辆、主要领导干部用车0辆、机要通信用车0辆、应急保障用车0辆、执法执勤用车0辆、特种专业技术用车0辆、离退休干部用车0辆、其他用车13辆，其他用车主要是：保障各项工作正常开展所需要的公务用车13辆；单位价值50万元以上通用设备2台（套）、单位价值100万元以上专用设备0台（套）。</w:t>
      </w:r>
    </w:p>
    <w:p>
      <w:pPr>
        <w:ind w:firstLine="640" w:firstLineChars="200"/>
        <w:outlineLvl w:val="1"/>
        <w:rPr>
          <w:rFonts w:ascii="黑体" w:hAnsi="黑体" w:eastAsia="黑体" w:cs="宋体"/>
          <w:bCs/>
          <w:kern w:val="0"/>
          <w:sz w:val="32"/>
          <w:szCs w:val="32"/>
        </w:rPr>
      </w:pPr>
      <w:bookmarkStart w:id="32" w:name="_Toc435"/>
      <w:bookmarkStart w:id="33" w:name="_Toc11283"/>
      <w:r>
        <w:rPr>
          <w:rFonts w:hint="eastAsia" w:ascii="黑体" w:hAnsi="黑体" w:eastAsia="黑体" w:cs="宋体"/>
          <w:bCs/>
          <w:kern w:val="0"/>
          <w:sz w:val="32"/>
          <w:szCs w:val="32"/>
        </w:rPr>
        <w:t>十、预算绩效的情况说明</w:t>
      </w:r>
      <w:bookmarkEnd w:id="32"/>
      <w:bookmarkEnd w:id="33"/>
    </w:p>
    <w:p>
      <w:pPr>
        <w:ind w:firstLine="640" w:firstLineChars="200"/>
        <w:rPr>
          <w:rFonts w:ascii="仿宋_GB2312" w:eastAsia="仿宋_GB2312"/>
          <w:sz w:val="32"/>
          <w:szCs w:val="32"/>
        </w:rPr>
      </w:pPr>
      <w:r>
        <w:rPr>
          <w:rFonts w:ascii="仿宋_GB2312" w:hAnsi="仿宋_GB2312" w:eastAsia="仿宋_GB2312" w:cs="仿宋_GB2312"/>
          <w:sz w:val="32"/>
        </w:rPr>
        <w:t>根据预算绩效管理要求，我单位2019年度开展预算绩效评价项目2个，共涉及资金719.43万元。预算绩效管理取得的成效：一是资金使用效益高。表现在:一是保障了职工工资,津补贴和追加工资的及时足额发放,没有出现拖欠职工工资,离退休费用等现象;二是保障了各项工作的正常运转,资金支付正常;三是财政供养人员控制较好;四是资金使用无虚列支出及随意使用现象,无大额现金支付现象。
二是资金使用社会效益好。一是保障了政府办及其他纳入本部门核算的部门工作的顺利进行。二是保障了安居富民工程基础设施建设项目按时完成，更好地发挥了本部门工作职责。发现的问题及原因：根据我办2019年经费使用情况及取得的成效，发现政府办公务用车开支较大[因公务车辆使用时间长，需定期进行维修保养]，导致公务车辆运行维护费支出较大，财政按排的日常公用经费太少，下一年度要加强财政支出的规范化管理，早做规划，避免资金使用困难的情况，从而提高资金的使用效益。下一步改进措施：在今后的工作一方面要严格预算编制，做到细化精确，争取一些费用纳入财政预算中;另一方面要严格落实专项经费使用管理规定，做到专款专用;同时应及时与财政部门衔接，调减专项资金的预算安排，调增人员基本支出的预算安排。三是要严格按照《公务员法》的规定，确保财政供养人员及时到位，保障各项工作的顺利实行。四是在经费开支上严格按照八项规定执行。具体项目自评情况附项目支出绩效自评表。</w:t>
      </w:r>
    </w:p>
    <w:p>
      <w:pPr>
        <w:ind w:firstLine="640" w:firstLineChars="200"/>
        <w:jc w:val="center"/>
        <w:outlineLvl w:val="0"/>
        <w:rPr>
          <w:rFonts w:ascii="黑体" w:hAnsi="黑体" w:eastAsia="黑体"/>
          <w:sz w:val="32"/>
          <w:szCs w:val="32"/>
        </w:rPr>
      </w:pPr>
      <w:bookmarkStart w:id="34" w:name="_Toc3250"/>
      <w:bookmarkStart w:id="35" w:name="_Toc24143"/>
      <w:r>
        <w:rPr>
          <w:rFonts w:hint="eastAsia" w:ascii="黑体" w:hAnsi="黑体" w:eastAsia="黑体"/>
          <w:sz w:val="32"/>
          <w:szCs w:val="32"/>
        </w:rPr>
        <w:t>第三部分 专业名词解释</w:t>
      </w:r>
      <w:bookmarkEnd w:id="34"/>
      <w:bookmarkEnd w:id="35"/>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财政拨款收入：指同级财政当年拨付的资金。</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上级补助收入：指事业单位从主管部门和上级单位取得的非财政补助收入。</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事业收入：指事业单位开展专业业务活动及其辅助活动所取得的收入。</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经营收入：指事业单位在专业业务活动及其辅助活动之外开展非独立核算经营活动取得的收入。</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附属单位上缴收入：指事业单位附属的独立核算单位按有关规定上缴的收入。</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其他收入：指除上述“财政拨款收入”、“事业收入”、“经营收入”、“附属单位上缴收入”等之外取得的收入。</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用事业基金弥补收支差额：指事业单位在当年的“财政拨款收入”、“财政拨款结转和结余资金”、“事业收入”、“事业单位经营收入”、“其他收入”不足以安排当年支出的情况下，使用以前年度积累的事业基金（即事业单位当年收支相抵后按国家规定提取、用于弥补以后年度收支差额的基金）弥补本年度收支缺口的资金。</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年初结转和结余：指以前年度支出预算因客观条件变化未执行完毕、结转到本年度按有关规定继续使用的资金，既包括财政拨款结转和结余，也包括事业收入、经营收入、其他收入的结转和结余。</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年末结转和结余：指本年度或以前年度预算安排、因客观条件发生变化无法按原计划实施，需要延迟到以后年度按有关规定继续使用的资金，既包括财政拨款结转和结余，也包括事业收入、经营收入、其他收入的结转和结余。</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基本支出：指为保障机构正常运转、完成日常工作任务而发生的人员支出和公用支出。</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项目支出：指在基本支出之外为完成特定行政任务和事业发展目标所发生的支出。</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经营支出：指事业单位在专业业务活动及其辅助活动之外开展非独立核算经营活动发生的支出。</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对附属单位补助支出：指事业单位发生的用非财政预算资金对附属单位的补助支出。</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三公”经费：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pPr>
        <w:ind w:firstLine="640" w:firstLineChars="200"/>
        <w:rPr>
          <w:rFonts w:ascii="仿宋_GB2312" w:eastAsia="仿宋_GB2312"/>
          <w:sz w:val="32"/>
          <w:szCs w:val="32"/>
        </w:rPr>
      </w:pPr>
      <w:r>
        <w:rPr>
          <w:rFonts w:hint="eastAsia" w:ascii="仿宋_GB2312" w:eastAsia="仿宋_GB2312"/>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ind w:firstLine="640" w:firstLineChars="200"/>
        <w:jc w:val="center"/>
        <w:outlineLvl w:val="0"/>
        <w:rPr>
          <w:rFonts w:ascii="黑体" w:hAnsi="黑体" w:eastAsia="黑体"/>
          <w:sz w:val="32"/>
          <w:szCs w:val="32"/>
        </w:rPr>
      </w:pPr>
      <w:bookmarkStart w:id="36" w:name="_Toc22784"/>
      <w:bookmarkStart w:id="37" w:name="_Toc28903"/>
      <w:r>
        <w:rPr>
          <w:rFonts w:hint="eastAsia" w:ascii="黑体" w:hAnsi="黑体" w:eastAsia="黑体"/>
          <w:sz w:val="32"/>
          <w:szCs w:val="32"/>
        </w:rPr>
        <w:t>第四部分 部门决算报表（见附表）</w:t>
      </w:r>
      <w:bookmarkEnd w:id="36"/>
      <w:bookmarkEnd w:id="37"/>
    </w:p>
    <w:p>
      <w:pPr>
        <w:ind w:firstLine="640" w:firstLineChars="200"/>
        <w:outlineLvl w:val="1"/>
        <w:rPr>
          <w:rFonts w:ascii="黑体" w:hAnsi="黑体" w:eastAsia="黑体" w:cs="宋体"/>
          <w:bCs/>
          <w:kern w:val="0"/>
          <w:sz w:val="32"/>
          <w:szCs w:val="32"/>
        </w:rPr>
      </w:pPr>
      <w:bookmarkStart w:id="38" w:name="_Toc6062"/>
      <w:bookmarkStart w:id="39" w:name="_Toc2183"/>
      <w:r>
        <w:rPr>
          <w:rFonts w:hint="eastAsia" w:ascii="黑体" w:hAnsi="黑体" w:eastAsia="黑体" w:cs="宋体"/>
          <w:bCs/>
          <w:kern w:val="0"/>
          <w:sz w:val="32"/>
          <w:szCs w:val="32"/>
        </w:rPr>
        <w:t>一、《收入支出决算总表》</w:t>
      </w:r>
      <w:bookmarkEnd w:id="38"/>
      <w:bookmarkEnd w:id="39"/>
    </w:p>
    <w:p>
      <w:pPr>
        <w:ind w:firstLine="640" w:firstLineChars="200"/>
        <w:outlineLvl w:val="1"/>
        <w:rPr>
          <w:rFonts w:ascii="黑体" w:hAnsi="黑体" w:eastAsia="黑体" w:cs="宋体"/>
          <w:bCs/>
          <w:kern w:val="0"/>
          <w:sz w:val="32"/>
          <w:szCs w:val="32"/>
        </w:rPr>
      </w:pPr>
      <w:bookmarkStart w:id="40" w:name="_Toc24532"/>
      <w:bookmarkStart w:id="41" w:name="_Toc30364"/>
      <w:r>
        <w:rPr>
          <w:rFonts w:hint="eastAsia" w:ascii="黑体" w:hAnsi="黑体" w:eastAsia="黑体" w:cs="宋体"/>
          <w:bCs/>
          <w:kern w:val="0"/>
          <w:sz w:val="32"/>
          <w:szCs w:val="32"/>
        </w:rPr>
        <w:t>二、《收入决算表》</w:t>
      </w:r>
      <w:bookmarkEnd w:id="40"/>
      <w:bookmarkEnd w:id="41"/>
    </w:p>
    <w:p>
      <w:pPr>
        <w:ind w:firstLine="640" w:firstLineChars="200"/>
        <w:outlineLvl w:val="1"/>
        <w:rPr>
          <w:rFonts w:ascii="黑体" w:hAnsi="黑体" w:eastAsia="黑体" w:cs="宋体"/>
          <w:bCs/>
          <w:kern w:val="0"/>
          <w:sz w:val="32"/>
          <w:szCs w:val="32"/>
        </w:rPr>
      </w:pPr>
      <w:bookmarkStart w:id="42" w:name="_Toc21304"/>
      <w:bookmarkStart w:id="43" w:name="_Toc32434"/>
      <w:r>
        <w:rPr>
          <w:rFonts w:hint="eastAsia" w:ascii="黑体" w:hAnsi="黑体" w:eastAsia="黑体" w:cs="宋体"/>
          <w:bCs/>
          <w:kern w:val="0"/>
          <w:sz w:val="32"/>
          <w:szCs w:val="32"/>
        </w:rPr>
        <w:t>三、《支出决算表》</w:t>
      </w:r>
      <w:bookmarkEnd w:id="42"/>
      <w:bookmarkEnd w:id="43"/>
    </w:p>
    <w:p>
      <w:pPr>
        <w:ind w:firstLine="640" w:firstLineChars="200"/>
        <w:outlineLvl w:val="1"/>
        <w:rPr>
          <w:rFonts w:ascii="黑体" w:hAnsi="黑体" w:eastAsia="黑体" w:cs="宋体"/>
          <w:bCs/>
          <w:kern w:val="0"/>
          <w:sz w:val="32"/>
          <w:szCs w:val="32"/>
        </w:rPr>
      </w:pPr>
      <w:bookmarkStart w:id="44" w:name="_Toc28786"/>
      <w:bookmarkStart w:id="45" w:name="_Toc14238"/>
      <w:r>
        <w:rPr>
          <w:rFonts w:hint="eastAsia" w:ascii="黑体" w:hAnsi="黑体" w:eastAsia="黑体" w:cs="宋体"/>
          <w:bCs/>
          <w:kern w:val="0"/>
          <w:sz w:val="32"/>
          <w:szCs w:val="32"/>
        </w:rPr>
        <w:t>四、《财政拨款收入支出决算总表》</w:t>
      </w:r>
      <w:bookmarkEnd w:id="44"/>
      <w:bookmarkEnd w:id="45"/>
    </w:p>
    <w:p>
      <w:pPr>
        <w:ind w:firstLine="640" w:firstLineChars="200"/>
        <w:outlineLvl w:val="1"/>
        <w:rPr>
          <w:rFonts w:ascii="黑体" w:hAnsi="黑体" w:eastAsia="黑体" w:cs="宋体"/>
          <w:bCs/>
          <w:kern w:val="0"/>
          <w:sz w:val="32"/>
          <w:szCs w:val="32"/>
        </w:rPr>
      </w:pPr>
      <w:bookmarkStart w:id="46" w:name="_Toc14869"/>
      <w:bookmarkStart w:id="47" w:name="_Toc10347"/>
      <w:r>
        <w:rPr>
          <w:rFonts w:hint="eastAsia" w:ascii="黑体" w:hAnsi="黑体" w:eastAsia="黑体" w:cs="宋体"/>
          <w:bCs/>
          <w:kern w:val="0"/>
          <w:sz w:val="32"/>
          <w:szCs w:val="32"/>
        </w:rPr>
        <w:t>五、《一般公共预算财政拨款支出决算表》</w:t>
      </w:r>
      <w:bookmarkEnd w:id="46"/>
      <w:bookmarkEnd w:id="47"/>
    </w:p>
    <w:p>
      <w:pPr>
        <w:ind w:firstLine="640" w:firstLineChars="200"/>
        <w:outlineLvl w:val="1"/>
        <w:rPr>
          <w:rFonts w:ascii="黑体" w:hAnsi="黑体" w:eastAsia="黑体" w:cs="宋体"/>
          <w:bCs/>
          <w:kern w:val="0"/>
          <w:sz w:val="32"/>
          <w:szCs w:val="32"/>
        </w:rPr>
      </w:pPr>
      <w:bookmarkStart w:id="48" w:name="_Toc5626"/>
      <w:bookmarkStart w:id="49" w:name="_Toc8884"/>
      <w:r>
        <w:rPr>
          <w:rFonts w:hint="eastAsia" w:ascii="黑体" w:hAnsi="黑体" w:eastAsia="黑体" w:cs="宋体"/>
          <w:bCs/>
          <w:kern w:val="0"/>
          <w:sz w:val="32"/>
          <w:szCs w:val="32"/>
        </w:rPr>
        <w:t>六、《一般公共预算财政拨款基本支出决算表》</w:t>
      </w:r>
      <w:bookmarkEnd w:id="48"/>
      <w:bookmarkEnd w:id="49"/>
    </w:p>
    <w:p>
      <w:pPr>
        <w:ind w:firstLine="640" w:firstLineChars="200"/>
        <w:outlineLvl w:val="1"/>
        <w:rPr>
          <w:rFonts w:ascii="黑体" w:hAnsi="黑体" w:eastAsia="黑体" w:cs="宋体"/>
          <w:bCs/>
          <w:kern w:val="0"/>
          <w:sz w:val="32"/>
          <w:szCs w:val="32"/>
        </w:rPr>
      </w:pPr>
      <w:bookmarkStart w:id="50" w:name="_Toc29106"/>
      <w:bookmarkStart w:id="51" w:name="_Toc32663"/>
      <w:r>
        <w:rPr>
          <w:rFonts w:hint="eastAsia" w:ascii="黑体" w:hAnsi="黑体" w:eastAsia="黑体" w:cs="宋体"/>
          <w:bCs/>
          <w:kern w:val="0"/>
          <w:sz w:val="32"/>
          <w:szCs w:val="32"/>
        </w:rPr>
        <w:t>七、《一般公共预算财政拨款“三公”经费支出决算表》</w:t>
      </w:r>
      <w:bookmarkEnd w:id="50"/>
      <w:bookmarkEnd w:id="51"/>
    </w:p>
    <w:p>
      <w:pPr>
        <w:ind w:firstLine="640" w:firstLineChars="200"/>
        <w:outlineLvl w:val="1"/>
        <w:rPr>
          <w:rFonts w:ascii="黑体" w:hAnsi="黑体" w:eastAsia="黑体" w:cs="宋体"/>
          <w:bCs/>
          <w:kern w:val="0"/>
          <w:sz w:val="32"/>
          <w:szCs w:val="32"/>
        </w:rPr>
      </w:pPr>
      <w:bookmarkStart w:id="52" w:name="_Toc5453"/>
      <w:bookmarkStart w:id="53" w:name="_Toc7643"/>
      <w:r>
        <w:rPr>
          <w:rFonts w:hint="eastAsia" w:ascii="黑体" w:hAnsi="黑体" w:eastAsia="黑体" w:cs="宋体"/>
          <w:bCs/>
          <w:kern w:val="0"/>
          <w:sz w:val="32"/>
          <w:szCs w:val="32"/>
        </w:rPr>
        <w:t>八、《政府性基金预算财政拨款收入支出决算表》</w:t>
      </w:r>
      <w:bookmarkEnd w:id="52"/>
      <w:bookmarkEnd w:id="53"/>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a:spLocks noChangeArrowheads="1"/>
                    </wps:cNvSpPr>
                    <wps:spPr bwMode="auto">
                      <a:xfrm>
                        <a:off x="0" y="0"/>
                        <a:ext cx="1828800" cy="1828800"/>
                      </a:xfrm>
                      <a:prstGeom prst="rect">
                        <a:avLst/>
                      </a:prstGeom>
                      <a:noFill/>
                      <a:ln>
                        <a:noFill/>
                      </a:ln>
                    </wps:spPr>
                    <wps:txbx>
                      <w:txbxContent>
                        <w:p>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rot="0" vert="horz" wrap="none" lIns="0" tIns="0" rIns="0" bIns="0" anchor="t" anchorCtr="0" upright="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">
              <v:fill on="f" focussize="0,0"/>
              <v:stroke on="f"/>
              <v:imagedata o:title=""/>
              <o:lock v:ext="edit" aspectratio="f"/>
              <v:textbox inset="0mm,0mm,0mm,0mm" style="mso-fit-shape-to-text:t;">
                <w:txbxContent>
                  <w:p>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web"/>
  <w:zoom w:percent="100"/>
  <w:bordersDoNotSurroundHeader w:val="1"/>
  <w:bordersDoNotSurroundFooter w:val="1"/>
  <w:documentProtection w:edit="comments" w:enforcement="1" w:cryptProviderType="rsaFull" w:cryptAlgorithmClass="hash" w:cryptAlgorithmType="typeAny" w:cryptAlgorithmSid="4" w:cryptSpinCount="0" w:hash="jmGbsalECMBR6KNWgGod79qfuUg=" w:salt="HwGrzVP5+wWvlyaJCzvUow=="/>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C6E66"/>
    <w:rsid w:val="000033EF"/>
    <w:rsid w:val="00004533"/>
    <w:rsid w:val="00005A21"/>
    <w:rsid w:val="0004063C"/>
    <w:rsid w:val="000701A7"/>
    <w:rsid w:val="00082456"/>
    <w:rsid w:val="000A663A"/>
    <w:rsid w:val="000B5514"/>
    <w:rsid w:val="000B57B8"/>
    <w:rsid w:val="000B69AB"/>
    <w:rsid w:val="000F01B7"/>
    <w:rsid w:val="000F6705"/>
    <w:rsid w:val="001111D4"/>
    <w:rsid w:val="001128A8"/>
    <w:rsid w:val="001130AE"/>
    <w:rsid w:val="001237CF"/>
    <w:rsid w:val="00125A6F"/>
    <w:rsid w:val="0014029C"/>
    <w:rsid w:val="00144642"/>
    <w:rsid w:val="00146FA3"/>
    <w:rsid w:val="001573AA"/>
    <w:rsid w:val="00162E66"/>
    <w:rsid w:val="001826D1"/>
    <w:rsid w:val="001848EE"/>
    <w:rsid w:val="00186B3B"/>
    <w:rsid w:val="001C2D35"/>
    <w:rsid w:val="001C5BE8"/>
    <w:rsid w:val="001C6E66"/>
    <w:rsid w:val="001D3634"/>
    <w:rsid w:val="001D37EF"/>
    <w:rsid w:val="001E4D79"/>
    <w:rsid w:val="001F29A9"/>
    <w:rsid w:val="001F777A"/>
    <w:rsid w:val="002122DE"/>
    <w:rsid w:val="00227229"/>
    <w:rsid w:val="002328AF"/>
    <w:rsid w:val="00233021"/>
    <w:rsid w:val="0024217C"/>
    <w:rsid w:val="00243E6C"/>
    <w:rsid w:val="00246EBC"/>
    <w:rsid w:val="00265F92"/>
    <w:rsid w:val="00272845"/>
    <w:rsid w:val="00282550"/>
    <w:rsid w:val="00287829"/>
    <w:rsid w:val="0029171A"/>
    <w:rsid w:val="00292B7F"/>
    <w:rsid w:val="00292C0A"/>
    <w:rsid w:val="002A4B19"/>
    <w:rsid w:val="002B072F"/>
    <w:rsid w:val="002B37DA"/>
    <w:rsid w:val="002B7A04"/>
    <w:rsid w:val="002D187F"/>
    <w:rsid w:val="002F1732"/>
    <w:rsid w:val="003106FF"/>
    <w:rsid w:val="00327986"/>
    <w:rsid w:val="003314E6"/>
    <w:rsid w:val="00340AE7"/>
    <w:rsid w:val="00354737"/>
    <w:rsid w:val="0037159F"/>
    <w:rsid w:val="00377EC6"/>
    <w:rsid w:val="003920B8"/>
    <w:rsid w:val="003A44F0"/>
    <w:rsid w:val="003C3EF4"/>
    <w:rsid w:val="003D1DD1"/>
    <w:rsid w:val="003E5F70"/>
    <w:rsid w:val="003F60E1"/>
    <w:rsid w:val="00400D8F"/>
    <w:rsid w:val="004161A5"/>
    <w:rsid w:val="00430E56"/>
    <w:rsid w:val="004318F5"/>
    <w:rsid w:val="00456820"/>
    <w:rsid w:val="00471387"/>
    <w:rsid w:val="00471BBD"/>
    <w:rsid w:val="0047268F"/>
    <w:rsid w:val="004A41CF"/>
    <w:rsid w:val="004A44C9"/>
    <w:rsid w:val="004B2E7F"/>
    <w:rsid w:val="004B3B3F"/>
    <w:rsid w:val="004D35C0"/>
    <w:rsid w:val="004E519F"/>
    <w:rsid w:val="004F1D2D"/>
    <w:rsid w:val="004F506B"/>
    <w:rsid w:val="00531503"/>
    <w:rsid w:val="00534ECA"/>
    <w:rsid w:val="005358C2"/>
    <w:rsid w:val="005474EB"/>
    <w:rsid w:val="005506DD"/>
    <w:rsid w:val="005529D0"/>
    <w:rsid w:val="00553FB5"/>
    <w:rsid w:val="00554A58"/>
    <w:rsid w:val="00560394"/>
    <w:rsid w:val="0056525F"/>
    <w:rsid w:val="005B1DE6"/>
    <w:rsid w:val="005C11EB"/>
    <w:rsid w:val="006032AE"/>
    <w:rsid w:val="00684E46"/>
    <w:rsid w:val="0068591E"/>
    <w:rsid w:val="00690F22"/>
    <w:rsid w:val="00693012"/>
    <w:rsid w:val="006B0B73"/>
    <w:rsid w:val="006D2B94"/>
    <w:rsid w:val="006D3853"/>
    <w:rsid w:val="006E0721"/>
    <w:rsid w:val="0070295D"/>
    <w:rsid w:val="00725755"/>
    <w:rsid w:val="0075023C"/>
    <w:rsid w:val="00750D8A"/>
    <w:rsid w:val="00764051"/>
    <w:rsid w:val="00772611"/>
    <w:rsid w:val="007741F8"/>
    <w:rsid w:val="007B0022"/>
    <w:rsid w:val="007E2E4F"/>
    <w:rsid w:val="007E3BFD"/>
    <w:rsid w:val="00807B4B"/>
    <w:rsid w:val="008144CF"/>
    <w:rsid w:val="00822EED"/>
    <w:rsid w:val="00827663"/>
    <w:rsid w:val="00847CE1"/>
    <w:rsid w:val="00852D88"/>
    <w:rsid w:val="00857132"/>
    <w:rsid w:val="00862395"/>
    <w:rsid w:val="0088099A"/>
    <w:rsid w:val="008853A8"/>
    <w:rsid w:val="00887778"/>
    <w:rsid w:val="008A54C1"/>
    <w:rsid w:val="008D5B57"/>
    <w:rsid w:val="008F7D99"/>
    <w:rsid w:val="0090080D"/>
    <w:rsid w:val="00922FA7"/>
    <w:rsid w:val="00927301"/>
    <w:rsid w:val="009351E1"/>
    <w:rsid w:val="0094423A"/>
    <w:rsid w:val="0095219B"/>
    <w:rsid w:val="00963E2E"/>
    <w:rsid w:val="009774AD"/>
    <w:rsid w:val="00980F6F"/>
    <w:rsid w:val="00993788"/>
    <w:rsid w:val="009A173F"/>
    <w:rsid w:val="009C479E"/>
    <w:rsid w:val="009F4245"/>
    <w:rsid w:val="009F594D"/>
    <w:rsid w:val="00A009B3"/>
    <w:rsid w:val="00A239E7"/>
    <w:rsid w:val="00A34EDA"/>
    <w:rsid w:val="00A77ECE"/>
    <w:rsid w:val="00AA13D0"/>
    <w:rsid w:val="00AC0B18"/>
    <w:rsid w:val="00AC1D87"/>
    <w:rsid w:val="00AC2605"/>
    <w:rsid w:val="00AE136F"/>
    <w:rsid w:val="00AE6C82"/>
    <w:rsid w:val="00AE7A56"/>
    <w:rsid w:val="00AF0871"/>
    <w:rsid w:val="00AF530E"/>
    <w:rsid w:val="00AF5DFE"/>
    <w:rsid w:val="00B006E5"/>
    <w:rsid w:val="00B24234"/>
    <w:rsid w:val="00B3219F"/>
    <w:rsid w:val="00B42062"/>
    <w:rsid w:val="00B64D13"/>
    <w:rsid w:val="00B76725"/>
    <w:rsid w:val="00BC38D2"/>
    <w:rsid w:val="00BC65E4"/>
    <w:rsid w:val="00BE0A9F"/>
    <w:rsid w:val="00BF4880"/>
    <w:rsid w:val="00C01003"/>
    <w:rsid w:val="00C2317E"/>
    <w:rsid w:val="00C87860"/>
    <w:rsid w:val="00C92609"/>
    <w:rsid w:val="00C974A0"/>
    <w:rsid w:val="00CA0969"/>
    <w:rsid w:val="00CB7A14"/>
    <w:rsid w:val="00CC66CE"/>
    <w:rsid w:val="00CD1E0A"/>
    <w:rsid w:val="00CE40E2"/>
    <w:rsid w:val="00CE4AEB"/>
    <w:rsid w:val="00CE74CB"/>
    <w:rsid w:val="00D00B68"/>
    <w:rsid w:val="00D04E19"/>
    <w:rsid w:val="00D6644C"/>
    <w:rsid w:val="00D71F68"/>
    <w:rsid w:val="00D767F4"/>
    <w:rsid w:val="00D90234"/>
    <w:rsid w:val="00DA07A0"/>
    <w:rsid w:val="00DB4A9A"/>
    <w:rsid w:val="00DB6F81"/>
    <w:rsid w:val="00DD3B82"/>
    <w:rsid w:val="00E02851"/>
    <w:rsid w:val="00E43F43"/>
    <w:rsid w:val="00E76594"/>
    <w:rsid w:val="00EA656B"/>
    <w:rsid w:val="00EB1FF2"/>
    <w:rsid w:val="00EB42AF"/>
    <w:rsid w:val="00EB49C8"/>
    <w:rsid w:val="00EE3598"/>
    <w:rsid w:val="00EE791B"/>
    <w:rsid w:val="00EF3292"/>
    <w:rsid w:val="00F040C7"/>
    <w:rsid w:val="00F04DC0"/>
    <w:rsid w:val="00F24BA1"/>
    <w:rsid w:val="00F45607"/>
    <w:rsid w:val="00F552F7"/>
    <w:rsid w:val="00F57EE2"/>
    <w:rsid w:val="00F67C07"/>
    <w:rsid w:val="00F777E1"/>
    <w:rsid w:val="00F80266"/>
    <w:rsid w:val="00F83E19"/>
    <w:rsid w:val="00FB3828"/>
    <w:rsid w:val="00FC7A52"/>
    <w:rsid w:val="00FE0761"/>
    <w:rsid w:val="00FF5166"/>
    <w:rsid w:val="06792773"/>
    <w:rsid w:val="09967921"/>
    <w:rsid w:val="1A4B1BB9"/>
    <w:rsid w:val="1C8E0041"/>
    <w:rsid w:val="1DAF458D"/>
    <w:rsid w:val="29D9447D"/>
    <w:rsid w:val="2A053397"/>
    <w:rsid w:val="2D1136DF"/>
    <w:rsid w:val="2E0B1417"/>
    <w:rsid w:val="319E3672"/>
    <w:rsid w:val="31A61B03"/>
    <w:rsid w:val="31C63837"/>
    <w:rsid w:val="32531738"/>
    <w:rsid w:val="35F94D14"/>
    <w:rsid w:val="3B3A53C2"/>
    <w:rsid w:val="3D4308C7"/>
    <w:rsid w:val="3D5275AC"/>
    <w:rsid w:val="46901EEE"/>
    <w:rsid w:val="469C74D2"/>
    <w:rsid w:val="4A0079C4"/>
    <w:rsid w:val="4A281E81"/>
    <w:rsid w:val="50DB5F45"/>
    <w:rsid w:val="535B29C7"/>
    <w:rsid w:val="561C4DF8"/>
    <w:rsid w:val="65720F12"/>
    <w:rsid w:val="65782FEC"/>
    <w:rsid w:val="68802E76"/>
    <w:rsid w:val="69AD798C"/>
    <w:rsid w:val="6B0B3A47"/>
    <w:rsid w:val="6B68175F"/>
    <w:rsid w:val="6BF4778F"/>
    <w:rsid w:val="6C8645A3"/>
    <w:rsid w:val="70E90643"/>
    <w:rsid w:val="71F6757D"/>
    <w:rsid w:val="73FB6630"/>
    <w:rsid w:val="76756A10"/>
    <w:rsid w:val="77ED6F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unhideWhenUsed/>
    <w:uiPriority w:val="1"/>
  </w:style>
  <w:style w:type="table" w:default="1" w:styleId="8">
    <w:name w:val="Normal Table"/>
    <w:semiHidden/>
    <w:unhideWhenUsed/>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1"/>
    <w:basedOn w:val="1"/>
    <w:next w:val="1"/>
    <w:uiPriority w:val="0"/>
  </w:style>
  <w:style w:type="paragraph" w:styleId="7">
    <w:name w:val="toc 2"/>
    <w:basedOn w:val="1"/>
    <w:next w:val="1"/>
    <w:uiPriority w:val="0"/>
    <w:pPr>
      <w:ind w:left="420" w:leftChars="200"/>
    </w:pPr>
  </w:style>
  <w:style w:type="paragraph" w:customStyle="1" w:styleId="10">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11">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2">
    <w:name w:val="WPSOffice手动目录 1"/>
    <w:qFormat/>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1031</Words>
  <Characters>5881</Characters>
  <Lines>49</Lines>
  <Paragraphs>13</Paragraphs>
  <TotalTime>13</TotalTime>
  <ScaleCrop>false</ScaleCrop>
  <LinksUpToDate>false</LinksUpToDate>
  <CharactersWithSpaces>6899</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2020-09-08T14:04:00Z</dcterms:created>
  <dc:creator>GXR</dc:creator>
  <cp:lastModifiedBy></cp:lastModifiedBy>
  <dcterms:modified xsi:type="dcterms:W3CDTF">2021-06-08T08:21:28Z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