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新疆喀什地区泽普县人民代表大会常务委员会2019年度部门决算公开说明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480"/>
        <w:jc w:val="both"/>
      </w:pPr>
      <w:r>
        <w:rPr>
          <w:rFonts w:ascii="仿宋_GB2312" w:hAnsi="仿宋_GB2312" w:eastAsia="仿宋_GB2312" w:cs="仿宋_GB2312"/>
          <w:b w:val="0"/>
          <w:sz w:val="32"/>
        </w:rPr>
        <w:t>泽普县人民代表大会制度是我国的根本政治制度，是社会主义政治文明建设的重要制度载体，县人大常委会是县人民代表大会的常设机关，对县人民代表大会负责并报告工作。县人大常委会行使下列职权：在本行政区域内，保证宪法、法律、行政法规和上级人民代表大会及其常委会决议的遵守和执行；领导、主持县人民代表大会代表的选举；召集县人民代表大会会议；讨论、决定本县内的政治、经济、教育、科学、文化、卫生、环境和资源保护、民政、民族等工作的重大事项等。</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新疆喀什地区泽普县人民代表大会常务委员会2019年度，实有人数44人，其中：在职人员22人，离休人员0人，退休人员22人。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从部门决算单位构成看，新疆喀什地区泽普县人民代表大会常务委员会部门决算包括：新疆喀什地区泽普县人民代表大会常务委员会决算。</w:t>
      </w:r>
    </w:p>
    <w:p>
      <w:pPr>
        <w:ind w:firstLine="640" w:firstLineChars="200"/>
        <w:jc w:val="center"/>
        <w:outlineLvl w:val="0"/>
        <w:rPr>
          <w:rFonts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462.17万元，与上年相比，增加19.51万元，增长4.41%，主要原因是：1、本年度人员工资进行了调资。2、本年度年中追加了日常运行维护费。本年支出462.17万元，与上年相比，减少16.89万元，下降3.53%，主要原因是：招待费用，修车费减少。</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2019年度本年收入462.17万元，其中：财政拨款收入462.17万元，占100%；上级补助收入0万元，占0%；事业收入0万元，占0%；经营收入0万元，占0%；附属单位上缴收入0万元，占0%；其他收入0万元，占0%。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2019年度本年支出462.17万元，其中：基本支出456.17万元，占98.7%；项目支出6万元，占1.3%；上缴上级支出0万元，占0%；经营支出0万元，占0%；对附属单位补助支出0万元，占0%。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462.17万元，与上年相比，增加19.51万元，增长4.41%，主要原因是：1、本年度人员工资进行了调资。2、本年度年中追加了日常运行维护费。财政拨款支出462.17万元，与上年相比，减少16.89万元，下降3.53%，主要原因是：本年度严格执行中央八项规定，例行节约，压减支出，购买办公设备打码机一台0.11万元，。</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456.84万元，决算数462.17万元，预决算差异率1.17%，主要原因是：本年度年中追加了日常运行维护费。财政拨款支出年初预算数456.84万元，决算数462.17万元，预决算差异率1.17%，主要原因是：本年度年中追加了日常运行维护费。</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2019年度一般公共预算财政拨款支出462.17万元。按功能分类科目项级科目公开，其中：</w:t>
      </w:r>
    </w:p>
    <w:p>
      <w:pPr>
        <w:ind w:firstLine="480"/>
        <w:jc w:val="both"/>
      </w:pPr>
      <w:r>
        <w:rPr>
          <w:rFonts w:ascii="仿宋_GB2312" w:hAnsi="仿宋_GB2312" w:eastAsia="仿宋_GB2312" w:cs="仿宋_GB2312"/>
          <w:b w:val="0"/>
          <w:sz w:val="32"/>
        </w:rPr>
        <w:t xml:space="preserve">   2010101行政运行支出340.91万元；</w:t>
      </w:r>
    </w:p>
    <w:p>
      <w:pPr>
        <w:ind w:firstLine="480"/>
        <w:jc w:val="both"/>
      </w:pPr>
      <w:r>
        <w:rPr>
          <w:rFonts w:ascii="仿宋_GB2312" w:hAnsi="仿宋_GB2312" w:eastAsia="仿宋_GB2312" w:cs="仿宋_GB2312"/>
          <w:b w:val="0"/>
          <w:sz w:val="32"/>
        </w:rPr>
        <w:t xml:space="preserve">   2010104人大会议支出12.62万元；</w:t>
      </w:r>
    </w:p>
    <w:p>
      <w:pPr>
        <w:ind w:firstLine="480"/>
        <w:jc w:val="both"/>
      </w:pPr>
      <w:r>
        <w:rPr>
          <w:rFonts w:ascii="仿宋_GB2312" w:hAnsi="仿宋_GB2312" w:eastAsia="仿宋_GB2312" w:cs="仿宋_GB2312"/>
          <w:b w:val="0"/>
          <w:sz w:val="32"/>
        </w:rPr>
        <w:t xml:space="preserve">   2010108代表工作支出39.79万元；</w:t>
      </w:r>
    </w:p>
    <w:p>
      <w:pPr>
        <w:ind w:firstLine="480"/>
        <w:jc w:val="both"/>
      </w:pPr>
      <w:r>
        <w:rPr>
          <w:rFonts w:ascii="仿宋_GB2312" w:hAnsi="仿宋_GB2312" w:eastAsia="仿宋_GB2312" w:cs="仿宋_GB2312"/>
          <w:b w:val="0"/>
          <w:sz w:val="32"/>
        </w:rPr>
        <w:t xml:space="preserve">   2010199其他人大事务支出6万元；</w:t>
      </w:r>
    </w:p>
    <w:p>
      <w:pPr>
        <w:ind w:firstLine="480"/>
        <w:jc w:val="both"/>
      </w:pPr>
      <w:r>
        <w:rPr>
          <w:rFonts w:ascii="仿宋_GB2312" w:hAnsi="仿宋_GB2312" w:eastAsia="仿宋_GB2312" w:cs="仿宋_GB2312"/>
          <w:b w:val="0"/>
          <w:sz w:val="32"/>
        </w:rPr>
        <w:t xml:space="preserve">   2080505机关事业单位基本养老保险缴费支出36.20万元；</w:t>
      </w:r>
    </w:p>
    <w:p>
      <w:pPr>
        <w:ind w:firstLine="480"/>
        <w:jc w:val="both"/>
      </w:pPr>
      <w:r>
        <w:rPr>
          <w:rFonts w:ascii="仿宋_GB2312" w:hAnsi="仿宋_GB2312" w:eastAsia="仿宋_GB2312" w:cs="仿宋_GB2312"/>
          <w:b w:val="0"/>
          <w:sz w:val="32"/>
        </w:rPr>
        <w:t xml:space="preserve">   2210201住房公积金支出26.65万元。</w:t>
      </w:r>
    </w:p>
    <w:p>
      <w:pPr>
        <w:ind w:firstLine="640" w:firstLineChars="200"/>
        <w:outlineLvl w:val="1"/>
        <w:rPr>
          <w:rFonts w:ascii="黑体" w:hAnsi="黑体" w:eastAsia="黑体" w:cs="宋体"/>
          <w:bCs/>
          <w:kern w:val="0"/>
          <w:sz w:val="32"/>
          <w:szCs w:val="32"/>
        </w:rPr>
      </w:pPr>
      <w:bookmarkStart w:id="18" w:name="_Toc11146"/>
      <w:bookmarkStart w:id="19" w:name="_Toc30870"/>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2019年度一般公共预算财政拨款基本支出456.17万元，其中：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人员经费373.75万元，包括：基本工资、津贴补贴、机关事业单位基本养老保险缴费、职工基本医疗保险缴费、公务员医疗补助缴费、其他社会保障缴费、住房公积金、退休费、生活补助、奖励金。</w:t>
      </w:r>
    </w:p>
    <w:p>
      <w:pPr>
        <w:ind w:firstLine="640" w:firstLineChars="200"/>
        <w:rPr>
          <w:rFonts w:hint="eastAsia" w:ascii="仿宋_GB2312" w:eastAsia="仿宋_GB2312"/>
          <w:sz w:val="32"/>
          <w:szCs w:val="32"/>
          <w:lang w:val="en-US" w:eastAsia="zh-CN"/>
        </w:rPr>
      </w:pPr>
      <w:r>
        <w:rPr>
          <w:rFonts w:ascii="仿宋_GB2312" w:hAnsi="仿宋_GB2312" w:eastAsia="仿宋_GB2312" w:cs="仿宋_GB2312"/>
          <w:sz w:val="32"/>
        </w:rPr>
        <w:t>公用经费82.43万元，包括：办公费、水费、邮电费、差旅费、租赁费、会议费、培训费、公务接待费、劳务费、公务用车运行维护费</w:t>
      </w:r>
      <w:r>
        <w:rPr>
          <w:rFonts w:hint="eastAsia" w:ascii="仿宋_GB2312" w:hAnsi="仿宋_GB2312" w:eastAsia="仿宋_GB2312" w:cs="仿宋_GB2312"/>
          <w:sz w:val="32"/>
          <w:lang w:eastAsia="zh-CN"/>
        </w:rPr>
        <w:t>、办公设备购置。</w:t>
      </w:r>
      <w:bookmarkStart w:id="54" w:name="_GoBack"/>
      <w:bookmarkEnd w:id="54"/>
    </w:p>
    <w:p>
      <w:pPr>
        <w:ind w:firstLine="640" w:firstLineChars="200"/>
        <w:outlineLvl w:val="1"/>
        <w:rPr>
          <w:rFonts w:ascii="黑体" w:hAnsi="黑体" w:eastAsia="黑体" w:cs="宋体"/>
          <w:bCs/>
          <w:kern w:val="0"/>
          <w:sz w:val="32"/>
          <w:szCs w:val="32"/>
        </w:rPr>
      </w:pPr>
      <w:bookmarkStart w:id="20" w:name="_Toc7190"/>
      <w:bookmarkStart w:id="21" w:name="_Toc21518"/>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18.25万元，比上年增加7.70万元，增长72.99%，主要原因是国内公务接待支出、公务车辆运行维护费增加。其中，因公出国（境）费支出0万元，占0%，比上年增加0万元，增长0%，主要原因是本年未发生因公出国（境）费支出；公务用车购置及运行维护费支出14.11万元，占77.32%，比上年增加3.95万元，增长38.88%，主要原因是因本单位公务用车使用年限较长，需定期进行维修、维护；公务接待费支出4.14万元，占22.68%，比上年增加3.76万元，增长989.47%，主要原因是国内公务接待支出次数、人数增加。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因公出国（境）费支出0万元，开支内容包括：本年未发生因公出国（境）费支出。单位全年安排的因公出国（境）团组0个，因公出国（境）0人次。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14.11万元，其中，公务用车购置费0万元，公务用车运行维护费14.11万元。公务用车运行维护费开支内容包括公务用车保险费、汽油费、维修、维护费、审验费等。公务用车购置数0辆，公务用车保有量5辆。</w:t>
      </w:r>
    </w:p>
    <w:p>
      <w:pPr>
        <w:ind w:firstLine="640" w:firstLineChars="200"/>
        <w:rPr>
          <w:rFonts w:ascii="仿宋_GB2312" w:eastAsia="仿宋_GB2312"/>
          <w:sz w:val="32"/>
          <w:szCs w:val="32"/>
        </w:rPr>
      </w:pPr>
      <w:r>
        <w:rPr>
          <w:rFonts w:ascii="仿宋_GB2312" w:hAnsi="仿宋_GB2312" w:eastAsia="仿宋_GB2312" w:cs="仿宋_GB2312"/>
          <w:sz w:val="32"/>
        </w:rPr>
        <w:t>公务接待费4.14万元，开支内容包括国内公务接待支出。单位全年安排的国内公务接待8批次，180人次。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18.25万元，决算数18.25万元，预决算差异率0%，主要原因是：无差异。其中：因公出国（境）费预算数0万元，决算数0万元，预决算差异率0%，主要原因是：无差异；公务用车购置费预算数0万元，决算数0万元，预决算差异率0%，主要原因是：本年度未发生公务用车购置费支出；公务用车运行费预算数14.11万元，决算数14.11万元，预决算差异率0%，主要原因是：本年公务用车运行维护费预决算数据不存在差异；公务接待费预算数4.14万元，决算数4.14万元，预决算差异率0%，主要原因是：本年公务接待支出预决算数据不存在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7314"/>
      <w:bookmarkStart w:id="25" w:name="_Toc1235"/>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2019年度新疆喀什地区泽普县人民代表大会常务委员会机关运行经费支出82.43万元，比上年减少11.45万元，降低12.2%，主要原因是本年度严格执行中央八项规定，压减机关运行经费支出。</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2019年度政府采购支出总额2.98万元，其中：政府采购货物支出0.98万元、政府采购工程支出0万元、政府采购服务支出2万元。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授予中小企业合同金额2.98万元，占政府采购支出总额的100%，其中：授予小微企业合同金额2.98万元，占政府采购支出总额的100%。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0（平方米），价值0万元。车辆5辆，价值111.03万元，其中：副部（省）级及以上领导用车0辆、主要领导干部用车0辆、机要通信用车0辆、应急保障用车0辆、执法执勤用车0辆、特种专业技术用车0辆、离退休干部用车0辆、其他用车5辆，其他用车主要是：保障各项工作正常开展所需要的公务用车5辆；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rPr>
      </w:pPr>
      <w:r>
        <w:rPr>
          <w:rFonts w:ascii="仿宋_GB2312" w:hAnsi="仿宋_GB2312" w:eastAsia="仿宋_GB2312" w:cs="仿宋_GB2312"/>
          <w:sz w:val="32"/>
        </w:rPr>
        <w:t>根据预算绩效管理要求，我单位2019年度开展预算绩效评价项目1个，共涉及资金6万元。预算绩效管理取得的成效：一是资金使用效益高。表现在:一是保障了职工工资,津补贴和追加工资的及时足额发放,没有出现拖欠职工工资,离退休费用等现象;二是保障了各项工作的正常运转,资金支付正常;三是财政供养人员控制较好;四是资金使用无虚列支出及随意使用现象,无大额现金支付现象。
二是资金使用社会效益好。一是保障了人大工作的顺利进行。二是保障了专项资金项目按时完成，更好地发挥了本部门工作职责。发现的问题及原因：根据我办2019年经费使用情况及取得的成效，发现人大5辆办公务用车维修开支较大[因公务车辆使用时间长，需定期进行维修保养]，导致公务车辆运行维护费支出较大，招待费比上年增加，原因是自治区领导来泽普县指导工作次数多。2020年度要加强财政支出的规范化管理，早做规划，避免资金使用困难的情况，从而提高资金的使用效益。下一步改进措施：在今后的工作一方面要严格预算编制，做到细化精确，争取一些费用纳入财政预算中;另一方面要严格落实专项经费使用管理规定，做到专款专用;同时应及时与财政部门衔接，调减专项资金的预算安排，调增人员基本支出的预算安排。三是要严格按照《公务员法》的规定，确保财政供养人员及时到位，保障各项工作的顺利实行。四是在经费开支上严格按照八项规定执行。具体项目自评情况附项目支出绩效自评表。</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OqXm5zwAAAAUBAAAPAAAAAAAAAAEAIAAAACIAAABkcnMvZG93bnJldi54&#10;bWxQSwECFAAUAAAACACHTuJA5STQfgMCAAAEBAAADgAAAAAAAAABACAAAAAeAQAAZHJzL2Uyb0Rv&#10;Yy54bWxQSwUGAAAAAAYABgBZAQAAkw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bordersDoNotSurroundHeader w:val="1"/>
  <w:bordersDoNotSurroundFooter w:val="1"/>
  <w:documentProtection w:edit="comments" w:enforcement="1" w:cryptProviderType="rsaFull" w:cryptAlgorithmClass="hash" w:cryptAlgorithmType="typeAny" w:cryptAlgorithmSid="4" w:cryptSpinCount="0" w:hash="IwEzwTdMkdtdDFIOBaCXSiTIeH8=" w:salt="lzYoIvWz6CKATFzYSVdml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6B5003F"/>
    <w:rsid w:val="1DAF458D"/>
    <w:rsid w:val="2A053397"/>
    <w:rsid w:val="2D1136DF"/>
    <w:rsid w:val="30440584"/>
    <w:rsid w:val="31C63837"/>
    <w:rsid w:val="3C805F94"/>
    <w:rsid w:val="3D5275AC"/>
    <w:rsid w:val="3DA16BE9"/>
    <w:rsid w:val="46901EEE"/>
    <w:rsid w:val="469C74D2"/>
    <w:rsid w:val="50DB5F45"/>
    <w:rsid w:val="55D278CC"/>
    <w:rsid w:val="56CC3DAA"/>
    <w:rsid w:val="69AD798C"/>
    <w:rsid w:val="6B68175F"/>
    <w:rsid w:val="715C7D32"/>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uiPriority w:val="0"/>
  </w:style>
  <w:style w:type="paragraph" w:styleId="7">
    <w:name w:val="toc 2"/>
    <w:basedOn w:val="1"/>
    <w:next w:val="1"/>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11</TotalTime>
  <ScaleCrop>false</ScaleCrop>
  <LinksUpToDate>false</LinksUpToDate>
  <CharactersWithSpaces>6899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cp:lastModifiedBy>
  <dcterms:modified xsi:type="dcterms:W3CDTF">2021-06-08T08:17:48Z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