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bookmarkStart w:id="54" w:name="_GoBack"/>
      <w:bookmarkEnd w:id="54"/>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新疆喀什地区泽普县审计局2019年度部门决算公开说明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依据《中华人民共和国审计法》的规定，1.对县级财政预算执行情况和乡镇街道办事处财政决算以及其他财政收支情况；2.县级各部门、事业单位和使用财政资金的其他组织的财务收支；3.县属国有企业、国有资产占控股地位或主导地位企业的资产、负债、损益以及财务收支和经济效益及相关绩效审计；4.政府投资和以政府投资为主的建设项目预算执行和决算；5.部门管理的和其他单位受政府委托管理的社会保障基金、社会捐赠资金以及其他有关基金、资金的财务收支；6.上级审计机关授权审计的行业和中、省、市驻佛企事业单位财务收支和经济效益；7.对世界银行等国际组织和外国政府在我县的贷款、援助项目的财务收支；8.其他法律法规规定应由县审计局进行的审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新疆喀什地区泽普县审计局2019年度，实有人数16人，其中：在职人员13人，离休人员0人，退休人员3人。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从部门决算单位构成看，新疆喀什地区泽普县审计局部门决算包括：新疆喀什地区泽普县审计局决算。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192.42万元，与上年相比，减少75.53万元，下降28.19%，主要原因是：工资福利支出、项目支出减少。本年支出200.42万元，与上年相比，减少59.53万元，下降22.9%，主要原因是：工资福利支出、项目支出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2019年度本年收入192.42万元，其中：财政拨款收入192.42万元，占100%；上级补助收入0万元，占0%；事业收入0万元，占0%；经营收入0万元，占0%；附属单位上缴收入0万元，占0%；其他收入0万元，占0%。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2019年度本年支出200.42万元，其中：基本支出190.42万元，占95.01%；项目支出10万元，占4.99%；上缴上级支出0万元，占0%；经营支出0万元，占0%；对附属单位补助支出0万元，占0%。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192.42万元，与上年相比，减少48.13万元，下降20.01%，主要原因是：工资福利支出拨款、项目支出减少。财政拨款支出192.42万元，与上年相比，减少48.13万元，下降20.01%，主要原因是：工资福利支出拨款、项目支出减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195.41万元，决算数192.42万元，预决算差异率-1.53%，主要原因是：工资福利支出拨款减少。财政拨款支出年初预算数195.41万元，决算数192.42万元，预决算差异率-1.53%，主要原因是：工资福利支出减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2019年度一般公共预算财政拨款支出192.42万元。按功能分类科目项级科目公开，其中：</w:t>
      </w:r>
    </w:p>
    <w:p>
      <w:pPr>
        <w:ind w:firstLine="480"/>
        <w:jc w:val="both"/>
      </w:pPr>
      <w:r>
        <w:rPr>
          <w:rFonts w:ascii="仿宋_GB2312" w:hAnsi="仿宋_GB2312" w:eastAsia="仿宋_GB2312" w:cs="仿宋_GB2312"/>
          <w:b w:val="0"/>
          <w:sz w:val="32"/>
        </w:rPr>
        <w:t xml:space="preserve">   2010801行政运行支出120.73万元；</w:t>
      </w:r>
    </w:p>
    <w:p>
      <w:pPr>
        <w:ind w:firstLine="480"/>
        <w:jc w:val="both"/>
      </w:pPr>
      <w:r>
        <w:rPr>
          <w:rFonts w:ascii="仿宋_GB2312" w:hAnsi="仿宋_GB2312" w:eastAsia="仿宋_GB2312" w:cs="仿宋_GB2312"/>
          <w:b w:val="0"/>
          <w:sz w:val="32"/>
        </w:rPr>
        <w:t xml:space="preserve">   2010804审计业务支出10万元；</w:t>
      </w:r>
    </w:p>
    <w:p>
      <w:pPr>
        <w:ind w:firstLine="480"/>
        <w:jc w:val="both"/>
      </w:pPr>
      <w:r>
        <w:rPr>
          <w:rFonts w:ascii="仿宋_GB2312" w:hAnsi="仿宋_GB2312" w:eastAsia="仿宋_GB2312" w:cs="仿宋_GB2312"/>
          <w:b w:val="0"/>
          <w:sz w:val="32"/>
        </w:rPr>
        <w:t xml:space="preserve">   2010850事业运行支出30.60万元；</w:t>
      </w:r>
    </w:p>
    <w:p>
      <w:pPr>
        <w:ind w:firstLine="480"/>
        <w:jc w:val="both"/>
      </w:pPr>
      <w:r>
        <w:rPr>
          <w:rFonts w:ascii="仿宋_GB2312" w:hAnsi="仿宋_GB2312" w:eastAsia="仿宋_GB2312" w:cs="仿宋_GB2312"/>
          <w:b w:val="0"/>
          <w:sz w:val="32"/>
        </w:rPr>
        <w:t xml:space="preserve">   2080505机关事业单位基本养老保险缴费支出17.46万元；</w:t>
      </w:r>
    </w:p>
    <w:p>
      <w:pPr>
        <w:ind w:firstLine="480"/>
        <w:jc w:val="both"/>
      </w:pPr>
      <w:r>
        <w:rPr>
          <w:rFonts w:ascii="仿宋_GB2312" w:hAnsi="仿宋_GB2312" w:eastAsia="仿宋_GB2312" w:cs="仿宋_GB2312"/>
          <w:b w:val="0"/>
          <w:sz w:val="32"/>
        </w:rPr>
        <w:t xml:space="preserve">   2210201住房公积金支出13.62万元。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2019年度一般公共预算财政拨款基本支出182.42万元，其中：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人员经费169.37万元，包括：基本工资、津贴补贴、绩效工资、机关事业单位基本养老保险缴费、职工基本医疗保险缴费、公务员医疗补助缴费、其他社会保障缴费、住房公积金、退休费、奖励金。</w:t>
      </w:r>
    </w:p>
    <w:p>
      <w:pPr>
        <w:ind w:firstLine="640" w:firstLineChars="200"/>
        <w:rPr>
          <w:rFonts w:hint="eastAsia" w:ascii="仿宋_GB2312" w:eastAsia="仿宋_GB2312"/>
          <w:sz w:val="32"/>
          <w:szCs w:val="32"/>
          <w:lang w:val="en-US" w:eastAsia="zh-CN"/>
        </w:rPr>
      </w:pPr>
      <w:r>
        <w:rPr>
          <w:rFonts w:ascii="仿宋_GB2312" w:hAnsi="仿宋_GB2312" w:eastAsia="仿宋_GB2312" w:cs="仿宋_GB2312"/>
          <w:sz w:val="32"/>
        </w:rPr>
        <w:t>公用经费13.05万元，包括：办公费、手续费、邮电费、差旅费、劳务费、公务用车运行维护费</w:t>
      </w:r>
      <w:r>
        <w:rPr>
          <w:rFonts w:hint="eastAsia" w:ascii="仿宋_GB2312" w:hAnsi="仿宋_GB2312" w:eastAsia="仿宋_GB2312" w:cs="仿宋_GB2312"/>
          <w:sz w:val="32"/>
          <w:lang w:eastAsia="zh-CN"/>
        </w:rPr>
        <w:t>、办公设备购置费。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2.04万元，比上年减少0.19万元，降低8.52%，主要原因是压缩经费，严格执行八项规定。其中，因公出国（境）费支出0万元，占0%，比上年增加0万元，增长0%，主要原因是严格执行中央八项规定等方面；公务用车购置及运行维护费支出2.04万元，占100%，比上年减少0.19万元，降低8.52%，主要原因是压缩经费，严格执行八项规定；公务接待费支出0万元，占0%，比上年增加0万元，增长0%，主要原因是严格执行中央八项规定等方面。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因公出国（境）费支出0万元，开支内容包括：严格执行中央八项规定等方面。单位全年安排的因公出国（境）团组0个，因公出国（境）0人次。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公务用车购置及运行维护费2.04万元，其中，公务用车购置费0万元，公务用车运行维护费2.04万元。公务用车运行维护费开支内容包括汽车油料、维护费、过路费。公务用车购置数0辆，公务用车保有量1辆。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公务接待费0万元，开支内容包括无公务接待费。单位全年安排的国内公务接待0批次，0人次。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2.04万元，决算数2.04万元，预决算差异率0%，主要原因是：压缩经费，严格执行八项规定。其中：因公出国（境）费预算数0万元，决算数0万元，预决算差异率0%，主要原因是：压缩经费，严格执行八项规定；公务用车购置费预算数0万元，决算数0万元，预决算差异率0%，主要原因是：压缩经费，严格执行八项规定；公务用车运行费预算数2.04万元，决算数2.04万元，预决算差异率0%，主要原因是：压缩经费，严格执行八项规定；公务接待费预算数0万元，决算数0万元，预决算差异率0%，主要原因是：压缩经费，严格执行八项规定。</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2019年度新疆喀什地区泽普县审计局机关运行经费支出13.05万元，比上年增加0.75万元，增长6.1%，主要原因是聘请安保人员劳务费增加。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2019年度政府采购支出总额0.31万元，其中：政府采购货物支出0万元、政府采购工程支出0万元、政府采购服务支出0.31万元。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授予中小企业合同金额0.31万元，占政府采购支出总额的100%，其中：授予小微企业合同金额0.31万元，占政府采购支出总额的100%。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辆，价值20.06万元，其中：副部（省）级及以上领导用车0辆、主要领导干部用车0辆、机要通信用车0辆、应急保障用车0辆、执法执勤用车0辆、特种专业技术用车0辆、离退休干部用车0辆、其他用车1辆，其他用车主要是：公务用小汽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1个，共涉及资金10万元。预算绩效管理取得的成效：为泽普县退出贫困县保驾护航。发现的问题及原因：扶贫资金不规范。下一步改进措施：查、错、纠。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tEdO4xd2EODu7FYs0d9LJzdCyKo=" w:salt="+vJQ3eSgvPLWUQ/tv9vbc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8692C6C"/>
    <w:rsid w:val="1DAF458D"/>
    <w:rsid w:val="2A053397"/>
    <w:rsid w:val="2D1136DF"/>
    <w:rsid w:val="2F853E08"/>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10</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2021-06-08T08:23:06Z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